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p>
    <w:p>
      <w:pPr>
        <w:spacing w:after="50" w:before="0"/>
      </w:pPr>
      <w:r>
        <w:rPr>
          <w:rFonts w:ascii="Arial" w:cs="Arial" w:eastAsia="Arial" w:hAnsi="Arial"/>
          <w:b/>
          <w:bCs/>
          <w:caps/>
          <w:color w:val="C8A96E"/>
          <w:sz w:val="15"/>
          <w:szCs w:val="15"/>
        </w:rPr>
        <w:t xml:space="preserve">VEKTOR BY INVESTPUPPY</w:t>
      </w:r>
    </w:p>
    <w:p>
      <w:pPr>
        <w:spacing w:after="80" w:before="0"/>
      </w:pPr>
      <w:r>
        <w:rPr>
          <w:rFonts w:ascii="Arial" w:cs="Arial" w:eastAsia="Arial" w:hAnsi="Arial"/>
          <w:b/>
          <w:bCs/>
          <w:color w:val="E8E8EC"/>
          <w:sz w:val="40"/>
          <w:szCs w:val="40"/>
        </w:rPr>
        <w:t xml:space="preserve">OpenWealth Integration Brief</w:t>
      </w:r>
    </w:p>
    <w:p>
      <w:pPr>
        <w:spacing w:after="0" w:before="0"/>
      </w:pPr>
      <w:r>
        <w:rPr>
          <w:rFonts w:ascii="Arial" w:cs="Arial" w:eastAsia="Arial" w:hAnsi="Arial"/>
          <w:color w:val="B8B4C0"/>
          <w:sz w:val="17"/>
          <w:szCs w:val="17"/>
        </w:rPr>
        <w:t xml:space="preserve">For technology and partnership discussions · May 2026</w:t>
      </w:r>
    </w:p>
    <w:p>
      <w:pPr>
        <w:pBdr>
          <w:bottom w:val="single" w:color="C8A96E" w:sz="10" w:space="1"/>
        </w:pBdr>
        <w:spacing w:after="180" w:before="0"/>
      </w:pPr>
    </w:p>
    <w:p>
      <w:pPr>
        <w:spacing w:after="0" w:before="80"/>
      </w:pPr>
    </w:p>
    <w:p>
      <w:pPr>
        <w:pStyle w:val="Heading1"/>
        <w:pBdr>
          <w:bottom w:val="single" w:color="C8A96E" w:sz="3" w:space="4"/>
        </w:pBdr>
        <w:spacing w:after="80" w:before="360"/>
      </w:pPr>
      <w:r>
        <w:rPr>
          <w:rFonts w:ascii="Arial" w:cs="Arial" w:eastAsia="Arial" w:hAnsi="Arial"/>
          <w:b/>
          <w:bCs/>
          <w:caps/>
          <w:color w:val="C8A96E"/>
          <w:sz w:val="24"/>
          <w:szCs w:val="24"/>
        </w:rPr>
        <w:t xml:space="preserve">The Standard</w:t>
      </w:r>
    </w:p>
    <w:p>
      <w:pPr>
        <w:spacing w:after="50" w:before="50" w:line="315" w:lineRule="auto"/>
      </w:pPr>
      <w:r>
        <w:rPr>
          <w:rFonts w:ascii="Arial" w:cs="Arial" w:eastAsia="Arial" w:hAnsi="Arial"/>
          <w:b w:val="false"/>
          <w:bCs w:val="false"/>
          <w:i w:val="false"/>
          <w:iCs w:val="false"/>
          <w:color w:val="E8E2D9"/>
          <w:sz w:val="20"/>
          <w:szCs w:val="20"/>
        </w:rPr>
        <w:t xml:space="preserve">The OpenWealth Association publishes an open API standard for the wealth management industry. It defines data models and endpoint specifications for portfolio data, instrument master, transaction history, client accounts, exchange rates, and regulatory reporting. The standard has been adopted by leading European private banks, custody platforms, and wealth management technology vendors. Adoption in Asia Pacific is accelerating, with Singapore custodians increasing OpenWealth alignment in response to MAS technology risk management expectations.</w:t>
      </w:r>
    </w:p>
    <w:p>
      <w:pPr>
        <w:spacing w:after="0" w:before="80"/>
      </w:pPr>
    </w:p>
    <w:p>
      <w:pPr>
        <w:spacing w:after="50" w:before="50" w:line="315" w:lineRule="auto"/>
      </w:pPr>
      <w:r>
        <w:rPr>
          <w:rFonts w:ascii="Arial" w:cs="Arial" w:eastAsia="Arial" w:hAnsi="Arial"/>
          <w:b w:val="false"/>
          <w:bCs w:val="false"/>
          <w:i w:val="false"/>
          <w:iCs w:val="false"/>
          <w:color w:val="E8E2D9"/>
          <w:sz w:val="20"/>
          <w:szCs w:val="20"/>
        </w:rPr>
        <w:t xml:space="preserve">For a technology partner seeking to integrate with an institutional wealth management platform, OpenWealth compliance means integration via a standard that the institution’s systems may already speak. It removes the need to build proprietary integration interfaces and dramatically reduces integration complexity for both parties.</w:t>
      </w:r>
    </w:p>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InvestPuppy’s Credentials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The CEO led the production implementation of a generic OpenWealth API layer on top of one of the market’s leading PMS platforms, deployed across institutions in Europe, the Middle East, and Asia Pacific.</w:t>
            </w:r>
          </w:p>
        </w:tc>
      </w:tr>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This is not familiarity with the standard. It is production-grade implementation at Tier 1 scale.</w:t>
            </w:r>
          </w:p>
        </w:tc>
      </w:tr>
      <w:tr>
        <w:tc>
          <w:tcPr>
            <w:tcW w:type="dxa" w:w="8600"/>
            <w:tcBorders>
              <w:top w:val="single" w:color="AABCD4" w:sz="1"/>
              <w:left w:val="single" w:color="C8A96E" w:sz="12"/>
              <w:bottom w:val="single" w:color="AABCD4" w:sz="1"/>
              <w:right w:val="single" w:color="AABCD4" w:sz="1"/>
            </w:tcBorders>
            <w:shd w:fill="111118" w:val="clear"/>
            <w:tcMar>
              <w:top w:type="dxa" w:w="90"/>
              <w:left w:type="dxa" w:w="200"/>
              <w:bottom w:type="dxa" w:w="90"/>
              <w:right w:type="dxa" w:w="140"/>
            </w:tcMar>
          </w:tcPr>
          <w:p>
            <w:pPr>
              <w:spacing w:after="30" w:before="30"/>
            </w:pPr>
            <w:r>
              <w:rPr>
                <w:rFonts w:ascii="Arial" w:cs="Arial" w:eastAsia="Arial" w:hAnsi="Arial"/>
                <w:color w:val="E8E8EC"/>
                <w:sz w:val="20"/>
                <w:szCs w:val="20"/>
              </w:rPr>
              <w:t xml:space="preserve">The team that built the integration is the team building Vektor’s API layer.</w:t>
            </w:r>
          </w:p>
        </w:tc>
      </w:tr>
    </w:tbl>
    <w:p>
      <w:pPr>
        <w:spacing w:after="0" w:before="80"/>
      </w:pPr>
    </w:p>
    <w:p>
      <w:pPr>
        <w:spacing w:after="50" w:before="50" w:line="315" w:lineRule="auto"/>
      </w:pPr>
      <w:r>
        <w:rPr>
          <w:rFonts w:ascii="Arial" w:cs="Arial" w:eastAsia="Arial" w:hAnsi="Arial"/>
          <w:b w:val="false"/>
          <w:bCs w:val="false"/>
          <w:i w:val="false"/>
          <w:iCs w:val="false"/>
          <w:color w:val="E8E2D9"/>
          <w:sz w:val="20"/>
          <w:szCs w:val="20"/>
        </w:rPr>
        <w:t xml:space="preserve">This credential has a specific practical implication. The data model translation between Vektor’s internal schema and the OpenWealth standard is being completed by the team that built the production integration for the reference PMS. The mapping is known. The edge cases are known. The integration complexity that takes a new team months to work through is solved before the formal build begins.</w:t>
      </w:r>
    </w:p>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Vektor’s API Capabilities</w:t>
      </w:r>
    </w:p>
    <w:p>
      <w:pPr>
        <w:pStyle w:val="Heading2"/>
        <w:spacing w:after="60" w:before="240"/>
      </w:pPr>
      <w:r>
        <w:rPr>
          <w:rFonts w:ascii="Arial" w:cs="Arial" w:eastAsia="Arial" w:hAnsi="Arial"/>
          <w:b/>
          <w:bCs/>
          <w:color w:val="E8E8EC"/>
          <w:sz w:val="21"/>
          <w:szCs w:val="21"/>
        </w:rPr>
        <w:t xml:space="preserve">Production API — current endpoints</w:t>
      </w:r>
    </w:p>
    <w:p>
      <w:pPr>
        <w:spacing w:after="50" w:before="50" w:line="315" w:lineRule="auto"/>
      </w:pPr>
      <w:r>
        <w:rPr>
          <w:rFonts w:ascii="Arial" w:cs="Arial" w:eastAsia="Arial" w:hAnsi="Arial"/>
          <w:b w:val="false"/>
          <w:bCs w:val="false"/>
          <w:i/>
          <w:iCs/>
          <w:color w:val="E8E2D9"/>
          <w:sz w:val="20"/>
          <w:szCs w:val="20"/>
        </w:rPr>
        <w:t xml:space="preserve">The following endpoints are specified, built, and available for integration testing. Institutional partners should confirm current production status at the point of integration scoping.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5800"/>
      </w:tblGrid>
      <w:tr>
        <w:tc>
          <w:tcPr>
            <w:tcW w:type="dxa" w:w="28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Endpoint</w:t>
            </w:r>
          </w:p>
        </w:tc>
        <w:tc>
          <w:tcPr>
            <w:tcW w:type="dxa" w:w="58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Description</w:t>
            </w:r>
          </w:p>
        </w:tc>
      </w:tr>
      <w:tr>
        <w:tc>
          <w:tcPr>
            <w:tcW w:type="dxa" w:w="28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GET /portfolios/{id}/positions</w:t>
            </w:r>
          </w:p>
        </w:tc>
        <w:tc>
          <w:tcPr>
            <w:tcW w:type="dxa" w:w="58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Current portfolio positions with weights, quantities, and market values</w:t>
            </w:r>
          </w:p>
        </w:tc>
      </w:tr>
      <w:tr>
        <w:tc>
          <w:tcPr>
            <w:tcW w:type="dxa" w:w="28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GET /portfolios/{id}/valuations</w:t>
            </w:r>
          </w:p>
        </w:tc>
        <w:tc>
          <w:tcPr>
            <w:tcW w:type="dxa" w:w="58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Portfolio NAV and performance data by date range</w:t>
            </w:r>
          </w:p>
        </w:tc>
      </w:tr>
      <w:tr>
        <w:tc>
          <w:tcPr>
            <w:tcW w:type="dxa" w:w="28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GET /portfolios/{id}/transactions</w:t>
            </w:r>
          </w:p>
        </w:tc>
        <w:tc>
          <w:tcPr>
            <w:tcW w:type="dxa" w:w="58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Complete transaction history with settlement data</w:t>
            </w:r>
          </w:p>
        </w:tc>
      </w:tr>
      <w:tr>
        <w:tc>
          <w:tcPr>
            <w:tcW w:type="dxa" w:w="28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GET /instruments/{id}/prices</w:t>
            </w:r>
          </w:p>
        </w:tc>
        <w:tc>
          <w:tcPr>
            <w:tcW w:type="dxa" w:w="58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Price history for registered instruments</w:t>
            </w:r>
          </w:p>
        </w:tc>
      </w:tr>
      <w:tr>
        <w:tc>
          <w:tcPr>
            <w:tcW w:type="dxa" w:w="28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GET /strategies/{id}</w:t>
            </w:r>
          </w:p>
        </w:tc>
        <w:tc>
          <w:tcPr>
            <w:tcW w:type="dxa" w:w="58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Strategy configuration, weights, and optimisation results</w:t>
            </w:r>
          </w:p>
        </w:tc>
      </w:tr>
      <w:tr>
        <w:tc>
          <w:tcPr>
            <w:tcW w:type="dxa" w:w="28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GET /orders/{id}</w:t>
            </w:r>
          </w:p>
        </w:tc>
        <w:tc>
          <w:tcPr>
            <w:tcW w:type="dxa" w:w="58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Order detail with full ML validation record and audit trail</w:t>
            </w:r>
          </w:p>
        </w:tc>
      </w:tr>
    </w:tbl>
    <w:p>
      <w:pPr>
        <w:spacing w:after="0" w:before="100"/>
      </w:pPr>
    </w:p>
    <w:p>
      <w:pPr>
        <w:pStyle w:val="Heading2"/>
        <w:spacing w:after="60" w:before="240"/>
      </w:pPr>
      <w:r>
        <w:rPr>
          <w:rFonts w:ascii="Arial" w:cs="Arial" w:eastAsia="Arial" w:hAnsi="Arial"/>
          <w:b/>
          <w:bCs/>
          <w:color w:val="E8E8EC"/>
          <w:sz w:val="21"/>
          <w:szCs w:val="21"/>
        </w:rPr>
        <w:t xml:space="preserve">Roadmap — next 90 days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5800"/>
      </w:tblGrid>
      <w:tr>
        <w:tc>
          <w:tcPr>
            <w:tcW w:type="dxa" w:w="28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Endpoint</w:t>
            </w:r>
          </w:p>
        </w:tc>
        <w:tc>
          <w:tcPr>
            <w:tcW w:type="dxa" w:w="58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Description</w:t>
            </w:r>
          </w:p>
        </w:tc>
      </w:tr>
      <w:tr>
        <w:tc>
          <w:tcPr>
            <w:tcW w:type="dxa" w:w="28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POST /portfolios/{id}/allocations</w:t>
            </w:r>
          </w:p>
        </w:tc>
        <w:tc>
          <w:tcPr>
            <w:tcW w:type="dxa" w:w="58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Submit allocation instruction from external system</w:t>
            </w:r>
          </w:p>
        </w:tc>
      </w:tr>
      <w:tr>
        <w:tc>
          <w:tcPr>
            <w:tcW w:type="dxa" w:w="28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GET /portfolios/{id}/performance</w:t>
            </w:r>
          </w:p>
        </w:tc>
        <w:tc>
          <w:tcPr>
            <w:tcW w:type="dxa" w:w="58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Time-weighted returns, benchmark comparison, attribution</w:t>
            </w:r>
          </w:p>
        </w:tc>
      </w:tr>
      <w:tr>
        <w:tc>
          <w:tcPr>
            <w:tcW w:type="dxa" w:w="28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GET /regulatory/audit-trail</w:t>
            </w:r>
          </w:p>
        </w:tc>
        <w:tc>
          <w:tcPr>
            <w:tcW w:type="dxa" w:w="58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Complete audit trail export for regulatory submission</w:t>
            </w:r>
          </w:p>
        </w:tc>
      </w:tr>
    </w:tbl>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What It Means for Integration</w:t>
      </w:r>
    </w:p>
    <w:p>
      <w:pPr>
        <w:spacing w:after="50" w:before="50" w:line="315" w:lineRule="auto"/>
      </w:pPr>
      <w:r>
        <w:rPr>
          <w:rFonts w:ascii="Arial" w:cs="Arial" w:eastAsia="Arial" w:hAnsi="Arial"/>
          <w:b w:val="false"/>
          <w:bCs w:val="false"/>
          <w:i w:val="false"/>
          <w:iCs w:val="false"/>
          <w:color w:val="E8E2D9"/>
          <w:sz w:val="20"/>
          <w:szCs w:val="20"/>
        </w:rPr>
        <w:t xml:space="preserve">An institutional wealth platform already aligned with the OpenWealth standard can connect to Vektor as a data source with minimal integration effort. The practical implications:</w:t>
      </w:r>
    </w:p>
    <w:p>
      <w:pPr>
        <w:spacing w:after="0" w:before="60"/>
      </w:pP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Portfolio reporting tools</w:t>
      </w:r>
      <w:r>
        <w:rPr>
          <w:rFonts w:ascii="Arial" w:cs="Arial" w:eastAsia="Arial" w:hAnsi="Arial"/>
          <w:b w:val="false"/>
          <w:bCs w:val="false"/>
          <w:i w:val="false"/>
          <w:iCs w:val="false"/>
          <w:color w:val="E8E2D9"/>
          <w:sz w:val="20"/>
          <w:szCs w:val="20"/>
        </w:rPr>
        <w:t xml:space="preserve"> (Addepar, Landytech, or the institution’s own reporting infrastructure) can consume Vektor’s portfolio data via the standard positions and valuation endpoints. Client-facing reporting reflects Vektor’s systematic construction output without building a separate reporting layer.</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OMS integration</w:t>
      </w:r>
      <w:r>
        <w:rPr>
          <w:rFonts w:ascii="Arial" w:cs="Arial" w:eastAsia="Arial" w:hAnsi="Arial"/>
          <w:b w:val="false"/>
          <w:bCs w:val="false"/>
          <w:i w:val="false"/>
          <w:iCs w:val="false"/>
          <w:color w:val="E8E2D9"/>
          <w:sz w:val="20"/>
          <w:szCs w:val="20"/>
        </w:rPr>
        <w:t xml:space="preserve"> is scoped as a pilot with named institutional partners. Vektor’s order output can be routed through the institution’s existing execution infrastructure rather than through Vektor’s default IBKR connection. The integration surface is defined by the OpenWealth order specification.</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Regulatory reporting tools</w:t>
      </w:r>
      <w:r>
        <w:rPr>
          <w:rFonts w:ascii="Arial" w:cs="Arial" w:eastAsia="Arial" w:hAnsi="Arial"/>
          <w:b w:val="false"/>
          <w:bCs w:val="false"/>
          <w:i w:val="false"/>
          <w:iCs w:val="false"/>
          <w:color w:val="E8E2D9"/>
          <w:sz w:val="20"/>
          <w:szCs w:val="20"/>
        </w:rPr>
        <w:t xml:space="preserve"> that consume OpenWealth-format data can pull Vektor’s audit trail and transaction data directly. This is particularly relevant for FINMA compliance reporting in Switzerland and MAS technology risk reporting in Singapore.</w:t>
      </w:r>
    </w:p>
    <w:p>
      <w:pPr>
        <w:pStyle w:val="ListParagraph"/>
        <w:numPr>
          <w:ilvl w:val="0"/>
          <w:numId w:val="2"/>
        </w:numPr>
        <w:spacing w:after="55" w:before="55" w:line="295" w:lineRule="auto"/>
      </w:pPr>
      <w:r>
        <w:rPr>
          <w:rFonts w:ascii="Arial" w:cs="Arial" w:eastAsia="Arial" w:hAnsi="Arial"/>
          <w:b/>
          <w:bCs/>
          <w:i w:val="false"/>
          <w:iCs w:val="false"/>
          <w:color w:val="E8E8EC"/>
          <w:sz w:val="20"/>
          <w:szCs w:val="20"/>
        </w:rPr>
        <w:t xml:space="preserve">Custodian bank platforms</w:t>
      </w:r>
      <w:r>
        <w:rPr>
          <w:rFonts w:ascii="Arial" w:cs="Arial" w:eastAsia="Arial" w:hAnsi="Arial"/>
          <w:b w:val="false"/>
          <w:bCs w:val="false"/>
          <w:i w:val="false"/>
          <w:iCs w:val="false"/>
          <w:color w:val="E8E2D9"/>
          <w:sz w:val="20"/>
          <w:szCs w:val="20"/>
        </w:rPr>
        <w:t xml:space="preserve"> that have implemented the OpenWealth custodian-side endpoints can receive Vektor’s settlement instructions and position updates in the standard format they already process.</w:t>
      </w:r>
    </w:p>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Technical Documentation Available Under NDA</w:t>
      </w:r>
    </w:p>
    <w:p>
      <w:pPr>
        <w:spacing w:after="50" w:before="50" w:line="315" w:lineRule="auto"/>
      </w:pPr>
      <w:r>
        <w:rPr>
          <w:rFonts w:ascii="Arial" w:cs="Arial" w:eastAsia="Arial" w:hAnsi="Arial"/>
          <w:b w:val="false"/>
          <w:bCs w:val="false"/>
          <w:i w:val="false"/>
          <w:iCs w:val="false"/>
          <w:color w:val="E8E2D9"/>
          <w:sz w:val="20"/>
          <w:szCs w:val="20"/>
        </w:rPr>
        <w:t xml:space="preserve">The following materials are available to qualified institutional technology partners under mutual confidentiality agreement:</w:t>
      </w:r>
    </w:p>
    <w:p>
      <w:pPr>
        <w:spacing w:after="0" w:before="60"/>
      </w:pPr>
    </w:p>
    <w:p>
      <w:pPr>
        <w:pStyle w:val="ListParagraph"/>
        <w:numPr>
          <w:ilvl w:val="0"/>
          <w:numId w:val="3"/>
        </w:numPr>
        <w:spacing w:after="60" w:before="60" w:line="300" w:lineRule="auto"/>
      </w:pPr>
      <w:r>
        <w:rPr>
          <w:rFonts w:ascii="Arial" w:cs="Arial" w:eastAsia="Arial" w:hAnsi="Arial"/>
          <w:color w:val="E8E2D9"/>
          <w:sz w:val="20"/>
          <w:szCs w:val="20"/>
        </w:rPr>
        <w:t xml:space="preserve">Full OpenAPI specification (versioned, with changelog commitment)</w:t>
      </w:r>
    </w:p>
    <w:p>
      <w:pPr>
        <w:pStyle w:val="ListParagraph"/>
        <w:numPr>
          <w:ilvl w:val="0"/>
          <w:numId w:val="3"/>
        </w:numPr>
        <w:spacing w:after="60" w:before="60" w:line="300" w:lineRule="auto"/>
      </w:pPr>
      <w:r>
        <w:rPr>
          <w:rFonts w:ascii="Arial" w:cs="Arial" w:eastAsia="Arial" w:hAnsi="Arial"/>
          <w:color w:val="E8E2D9"/>
          <w:sz w:val="20"/>
          <w:szCs w:val="20"/>
        </w:rPr>
        <w:t xml:space="preserve">Vektor data model mapped against the OpenWealth schema — field-by-field translation reference</w:t>
      </w:r>
    </w:p>
    <w:p>
      <w:pPr>
        <w:pStyle w:val="ListParagraph"/>
        <w:numPr>
          <w:ilvl w:val="0"/>
          <w:numId w:val="3"/>
        </w:numPr>
        <w:spacing w:after="60" w:before="60" w:line="300" w:lineRule="auto"/>
      </w:pPr>
      <w:r>
        <w:rPr>
          <w:rFonts w:ascii="Arial" w:cs="Arial" w:eastAsia="Arial" w:hAnsi="Arial"/>
          <w:color w:val="E8E2D9"/>
          <w:sz w:val="20"/>
          <w:szCs w:val="20"/>
        </w:rPr>
        <w:t xml:space="preserve">Integration architecture overview for OMS and reporting platform connectivity</w:t>
      </w:r>
    </w:p>
    <w:p>
      <w:pPr>
        <w:pStyle w:val="ListParagraph"/>
        <w:numPr>
          <w:ilvl w:val="0"/>
          <w:numId w:val="3"/>
        </w:numPr>
        <w:spacing w:after="60" w:before="60" w:line="300" w:lineRule="auto"/>
      </w:pPr>
      <w:r>
        <w:rPr>
          <w:rFonts w:ascii="Arial" w:cs="Arial" w:eastAsia="Arial" w:hAnsi="Arial"/>
          <w:color w:val="E8E2D9"/>
          <w:sz w:val="20"/>
          <w:szCs w:val="20"/>
        </w:rPr>
        <w:t xml:space="preserve">Data governance and security posture documentation including data residency details</w:t>
      </w:r>
    </w:p>
    <w:p>
      <w:pPr>
        <w:pStyle w:val="ListParagraph"/>
        <w:numPr>
          <w:ilvl w:val="0"/>
          <w:numId w:val="3"/>
        </w:numPr>
        <w:spacing w:after="60" w:before="60" w:line="300" w:lineRule="auto"/>
      </w:pPr>
      <w:r>
        <w:rPr>
          <w:rFonts w:ascii="Arial" w:cs="Arial" w:eastAsia="Arial" w:hAnsi="Arial"/>
          <w:color w:val="E8E2D9"/>
          <w:sz w:val="20"/>
          <w:szCs w:val="20"/>
        </w:rPr>
        <w:t xml:space="preserve">Sandbox environment access for integration testing</w:t>
      </w:r>
    </w:p>
    <w:p>
      <w:pPr>
        <w:spacing w:after="0" w:before="120"/>
      </w:pPr>
    </w:p>
    <w:p>
      <w:pPr>
        <w:pStyle w:val="Heading1"/>
        <w:pBdr>
          <w:bottom w:val="single" w:color="C8A96E" w:sz="3" w:space="4"/>
        </w:pBdr>
        <w:spacing w:after="80" w:before="360"/>
      </w:pPr>
      <w:r>
        <w:rPr>
          <w:rFonts w:ascii="Arial" w:cs="Arial" w:eastAsia="Arial" w:hAnsi="Arial"/>
          <w:b/>
          <w:bCs/>
          <w:caps/>
          <w:color w:val="C8A96E"/>
          <w:sz w:val="24"/>
          <w:szCs w:val="24"/>
        </w:rPr>
        <w:t xml:space="preserve">Next Steps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6600"/>
      </w:tblGrid>
      <w:tr>
        <w:tc>
          <w:tcPr>
            <w:tcW w:type="dxa" w:w="20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Initial conversation</w:t>
            </w:r>
          </w:p>
        </w:tc>
        <w:tc>
          <w:tcPr>
            <w:tcW w:type="dxa" w:w="66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Technical discussion between InvestPuppy and the institution’s technology team. No commercial commitment required. We bring the OpenAPI specification and the schema mapping.</w:t>
            </w:r>
          </w:p>
        </w:tc>
      </w:tr>
      <w:tr>
        <w:tc>
          <w:tcPr>
            <w:tcW w:type="dxa" w:w="20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NDA</w:t>
            </w:r>
          </w:p>
        </w:tc>
        <w:tc>
          <w:tcPr>
            <w:tcW w:type="dxa" w:w="66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Mutual confidentiality agreement executed before detailed technical documentation is shared. Standard two-page mutual NDA. Available on request within 24 hours.</w:t>
            </w:r>
          </w:p>
        </w:tc>
      </w:tr>
      <w:tr>
        <w:tc>
          <w:tcPr>
            <w:tcW w:type="dxa" w:w="20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b/>
                <w:bCs/>
                <w:color w:val="E8E8EC"/>
                <w:sz w:val="18"/>
                <w:szCs w:val="18"/>
              </w:rPr>
              <w:t xml:space="preserve">Integration scoping</w:t>
            </w:r>
          </w:p>
        </w:tc>
        <w:tc>
          <w:tcPr>
            <w:tcW w:type="dxa" w:w="6600"/>
            <w:tcBorders>
              <w:top w:val="single" w:color="2A2A35" w:sz="1"/>
              <w:left w:val="single" w:color="2A2A35" w:sz="1"/>
              <w:bottom w:val="single" w:color="2A2A35" w:sz="1"/>
              <w:right w:val="single" w:color="2A2A35" w:sz="1"/>
            </w:tcBorders>
            <w:shd w:fill="111118" w:val="clear"/>
            <w:tcMar>
              <w:top w:type="dxa" w:w="70"/>
              <w:left w:type="dxa" w:w="110"/>
              <w:bottom w:type="dxa" w:w="70"/>
              <w:right w:type="dxa" w:w="110"/>
            </w:tcMar>
          </w:tcPr>
          <w:p>
            <w:r>
              <w:rPr>
                <w:rFonts w:ascii="Arial" w:cs="Arial" w:eastAsia="Arial" w:hAnsi="Arial"/>
                <w:color w:val="E8E2D9"/>
                <w:sz w:val="18"/>
                <w:szCs w:val="18"/>
              </w:rPr>
              <w:t xml:space="preserve">Once the technical fit is confirmed, we scope the specific integration workstreams, define the pilot engagement, and agree the commercial model for the partnership.</w:t>
            </w:r>
          </w:p>
        </w:tc>
      </w:tr>
      <w:tr>
        <w:tc>
          <w:tcPr>
            <w:tcW w:type="dxa" w:w="20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b/>
                <w:bCs/>
                <w:color w:val="E8E8EC"/>
                <w:sz w:val="18"/>
                <w:szCs w:val="18"/>
              </w:rPr>
              <w:t xml:space="preserve">Contact</w:t>
            </w:r>
          </w:p>
        </w:tc>
        <w:tc>
          <w:tcPr>
            <w:tcW w:type="dxa" w:w="6600"/>
            <w:tcBorders>
              <w:top w:val="single" w:color="2A2A35" w:sz="1"/>
              <w:left w:val="single" w:color="2A2A35" w:sz="1"/>
              <w:bottom w:val="single" w:color="2A2A35" w:sz="1"/>
              <w:right w:val="single" w:color="2A2A35" w:sz="1"/>
            </w:tcBorders>
            <w:shd w:fill="0A0A0F" w:val="clear"/>
            <w:tcMar>
              <w:top w:type="dxa" w:w="70"/>
              <w:left w:type="dxa" w:w="110"/>
              <w:bottom w:type="dxa" w:w="70"/>
              <w:right w:type="dxa" w:w="110"/>
            </w:tcMar>
          </w:tcPr>
          <w:p>
            <w:r>
              <w:rPr>
                <w:rFonts w:ascii="Arial" w:cs="Arial" w:eastAsia="Arial" w:hAnsi="Arial"/>
                <w:color w:val="E8E2D9"/>
                <w:sz w:val="18"/>
                <w:szCs w:val="18"/>
              </w:rPr>
              <w:t xml:space="preserve">contact@investpuppy.com · Reference: OpenWealth Integration</w:t>
            </w:r>
          </w:p>
        </w:tc>
      </w:tr>
    </w:tbl>
    <w:p>
      <w:pPr>
        <w:spacing w:after="0" w:before="120"/>
      </w:pPr>
    </w:p>
    <w:p>
      <w:pPr>
        <w:pBdr>
          <w:bottom w:val="single" w:color="C8A96E" w:sz="6" w:space="1"/>
        </w:pBdr>
        <w:spacing w:after="180" w:before="0"/>
      </w:pPr>
    </w:p>
    <w:p>
      <w:pPr>
        <w:spacing w:after="0" w:before="80"/>
      </w:pPr>
    </w:p>
    <w:p>
      <w:pPr>
        <w:spacing w:after="0" w:before="0"/>
      </w:pPr>
      <w:r>
        <w:rPr>
          <w:rFonts w:ascii="Arial" w:cs="Arial" w:eastAsia="Arial" w:hAnsi="Arial"/>
          <w:color w:val="2A2A35"/>
          <w:sz w:val="17"/>
          <w:szCs w:val="17"/>
        </w:rPr>
        <w:t xml:space="preserve">Vektor by InvestPuppy · investpuppy.com · contact@investpuppy.com · May 2026</w:t>
      </w:r>
    </w:p>
    <w:sectPr>
      <w:headerReference w:type="default" r:id="rId7"/>
      <w:footerReference w:type="default" r:id="rId8"/>
      <w:pgSz w:w="11906" w:h="16838" w:orient="portrait"/>
      <w:pgMar w:top="12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A2A35" w:sz="3" w:space="1"/>
      </w:pBdr>
      <w:tabs>
        <w:tab w:val="right" w:pos="8600"/>
      </w:tabs>
      <w:spacing w:after="0" w:before="120"/>
    </w:pPr>
    <w:r>
      <w:rPr>
        <w:rFonts w:ascii="Arial" w:cs="Arial" w:eastAsia="Arial" w:hAnsi="Arial"/>
        <w:i/>
        <w:iCs/>
        <w:color w:val="2A2A35"/>
        <w:sz w:val="14"/>
        <w:szCs w:val="14"/>
      </w:rPr>
      <w:t xml:space="preserve">Tier 2 · Qualified · investpuppy.com</w:t>
    </w:r>
    <w:r>
      <w:rPr>
        <w:rFonts w:ascii="Arial" w:cs="Arial" w:eastAsia="Arial" w:hAnsi="Arial"/>
        <w:color w:val="2A2A35"/>
        <w:sz w:val="14"/>
        <w:szCs w:val="14"/>
      </w:rPr>
      <w:t xml:space="preserve">	Page </w:t>
    </w:r>
    <w:fldSimple w:instr="[object Objec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A96E" w:sz="4" w:space="1"/>
      </w:pBdr>
      <w:tabs>
        <w:tab w:val="right" w:pos="8600"/>
      </w:tabs>
      <w:spacing w:after="120" w:before="0"/>
    </w:pPr>
    <w:r>
      <w:rPr>
        <w:rFonts w:ascii="Arial" w:cs="Arial" w:eastAsia="Arial" w:hAnsi="Arial"/>
        <w:b/>
        <w:bCs/>
        <w:color w:val="C8A96E"/>
        <w:sz w:val="15"/>
        <w:szCs w:val="15"/>
      </w:rPr>
      <w:t xml:space="preserve">Vektor · OpenWealth Integration Brief</w:t>
    </w:r>
    <w:r>
      <w:rPr>
        <w:rFonts w:ascii="Arial" w:cs="Arial" w:eastAsia="Arial" w:hAnsi="Arial"/>
        <w:color w:val="2A2A35"/>
        <w:sz w:val="14"/>
        <w:szCs w:val="14"/>
      </w:rPr>
      <w:t xml:space="preserve">	Tier 2 · Qualified Distribution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E8E2D9"/>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caps/>
      <w:color w:val="C8A96E"/>
      <w:sz w:val="24"/>
      <w:szCs w:val="24"/>
    </w:rPr>
  </w:style>
  <w:style w:type="paragraph" w:styleId="Heading2">
    <w:name w:val="Heading 2"/>
    <w:basedOn w:val="Normal"/>
    <w:next w:val="Normal"/>
    <w:qFormat/>
    <w:pPr>
      <w:spacing w:after="60" w:before="240"/>
      <w:outlineLvl w:val="1"/>
    </w:pPr>
    <w:rPr>
      <w:rFonts w:ascii="Arial" w:cs="Arial" w:eastAsia="Arial" w:hAnsi="Arial"/>
      <w:b/>
      <w:bCs/>
      <w:color w:val="E8E8E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2026-05-12T15:59:12.412Z</dcterms:created>
  <dcterms:modified xsi:type="dcterms:W3CDTF">2026-05-12T15:59:12.412Z</dcterms:modified>
</cp:coreProperties>
</file>

<file path=docProps/custom.xml><?xml version="1.0" encoding="utf-8"?>
<Properties xmlns="http://schemas.openxmlformats.org/officeDocument/2006/custom-properties" xmlns:vt="http://schemas.openxmlformats.org/officeDocument/2006/docPropsVTypes"/>
</file>