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spacing w:after="50" w:before="0"/>
      </w:pPr>
      <w:r>
        <w:rPr>
          <w:rFonts w:ascii="Arial" w:cs="Arial" w:eastAsia="Arial" w:hAnsi="Arial"/>
          <w:b/>
          <w:bCs/>
          <w:caps/>
          <w:color w:val="C8A96E"/>
          <w:sz w:val="15"/>
          <w:szCs w:val="15"/>
        </w:rPr>
        <w:t xml:space="preserve">VEKTOR BY INVESTPUPPY</w:t>
      </w:r>
    </w:p>
    <w:p>
      <w:pPr>
        <w:spacing w:after="80" w:before="0"/>
      </w:pPr>
      <w:r>
        <w:rPr>
          <w:rFonts w:ascii="Arial" w:cs="Arial" w:eastAsia="Arial" w:hAnsi="Arial"/>
          <w:b/>
          <w:bCs/>
          <w:color w:val="E8E8EC"/>
          <w:sz w:val="40"/>
          <w:szCs w:val="40"/>
        </w:rPr>
        <w:t xml:space="preserve">Regulatory Compliance Matrix</w:t>
      </w:r>
    </w:p>
    <w:p>
      <w:pPr>
        <w:spacing w:after="40" w:before="0"/>
      </w:pPr>
      <w:r>
        <w:rPr>
          <w:rFonts w:ascii="Arial" w:cs="Arial" w:eastAsia="Arial" w:hAnsi="Arial"/>
          <w:b/>
          <w:bCs/>
          <w:color w:val="C62828"/>
          <w:sz w:val="18"/>
          <w:szCs w:val="18"/>
        </w:rPr>
        <w:t xml:space="preserve">Switzerland · Confidential · NDA recipients only</w:t>
      </w:r>
    </w:p>
    <w:p>
      <w:pPr>
        <w:pBdr>
          <w:bottom w:val="single" w:color="C8A96E" w:sz="10" w:space="1"/>
        </w:pBdr>
        <w:spacing w:after="180" w:before="0"/>
      </w:pPr>
    </w:p>
    <w:p>
      <w:pPr>
        <w:spacing w:after="0" w:before="60"/>
      </w:pPr>
    </w:p>
    <w:p>
      <w:pPr>
        <w:spacing w:after="50" w:before="50" w:line="315" w:lineRule="auto"/>
      </w:pPr>
      <w:r>
        <w:rPr>
          <w:rFonts w:ascii="Arial" w:cs="Arial" w:eastAsia="Arial" w:hAnsi="Arial"/>
          <w:b w:val="false"/>
          <w:bCs w:val="false"/>
          <w:i/>
          <w:iCs/>
          <w:color w:val="E8E2D9"/>
          <w:sz w:val="20"/>
          <w:szCs w:val="20"/>
        </w:rPr>
        <w:t xml:space="preserve">This matrix represents InvestPuppy’s assessment of applicable Swiss regulatory requirements under FinIA, FinSA, and FINMA operational risk guidance for a systematic portfolio management platform. It is prepared for review by Swiss legal counsel and for institutional partner due diligence. It does not constitute legal advice. Regulated entities and their supervisory organisations should seek independent legal advice.</w:t>
      </w:r>
    </w:p>
    <w:p>
      <w:pPr>
        <w:spacing w:after="0" w:before="60"/>
      </w:pPr>
    </w:p>
    <w:p>
      <w:pPr>
        <w:spacing w:after="50" w:before="50" w:line="315" w:lineRule="auto"/>
      </w:pPr>
      <w:r>
        <w:rPr>
          <w:rFonts w:ascii="Arial" w:cs="Arial" w:eastAsia="Arial" w:hAnsi="Arial"/>
          <w:b w:val="false"/>
          <w:bCs w:val="false"/>
          <w:i/>
          <w:iCs/>
          <w:color w:val="B8B4C0"/>
          <w:sz w:val="20"/>
          <w:szCs w:val="20"/>
        </w:rPr>
        <w:t xml:space="preserve">Last reviewed: May 2026. Status: Draft — pending Swiss legal counsel review.</w:t>
      </w:r>
    </w:p>
    <w:p>
      <w:pPr>
        <w:spacing w:after="0" w:before="80"/>
      </w:pPr>
    </w:p>
    <w:p>
      <w:pPr>
        <w:pStyle w:val="Heading1"/>
        <w:pBdr>
          <w:bottom w:val="single" w:color="C8A96E" w:sz="3" w:space="4"/>
        </w:pBdr>
        <w:spacing w:after="80" w:before="360"/>
      </w:pPr>
      <w:r>
        <w:rPr>
          <w:rFonts w:ascii="Arial" w:cs="Arial" w:eastAsia="Arial" w:hAnsi="Arial"/>
          <w:b/>
          <w:bCs/>
          <w:caps/>
          <w:color w:val="C8A96E"/>
          <w:sz w:val="24"/>
          <w:szCs w:val="24"/>
        </w:rPr>
        <w:t xml:space="preserve">Regulatory Context</w:t>
      </w:r>
    </w:p>
    <w:p>
      <w:pPr>
        <w:spacing w:after="50" w:before="50" w:line="315" w:lineRule="auto"/>
      </w:pPr>
      <w:r>
        <w:rPr>
          <w:rFonts w:ascii="Arial" w:cs="Arial" w:eastAsia="Arial" w:hAnsi="Arial"/>
          <w:b w:val="false"/>
          <w:bCs w:val="false"/>
          <w:i w:val="false"/>
          <w:iCs w:val="false"/>
          <w:color w:val="E8E2D9"/>
          <w:sz w:val="20"/>
          <w:szCs w:val="20"/>
        </w:rPr>
        <w:t xml:space="preserve">FINMA’s Financial Institutions Act (FinIA, effective 2023) and the Financial Services Act (FinSA) created a new licensing and supervision framework for Swiss portfolio managers and asset managers. Swiss IAMs operating as portfolio managers under FinIA are supervised by an approved supervisory organisation (AO). Ongoing compliance with FinIA and FinSA is reviewed by the AO on a regular basis.</w:t>
      </w:r>
    </w:p>
    <w:p>
      <w:pPr>
        <w:spacing w:after="0" w:before="80"/>
      </w:pPr>
    </w:p>
    <w:p>
      <w:pPr>
        <w:spacing w:after="50" w:before="50" w:line="315" w:lineRule="auto"/>
      </w:pPr>
      <w:r>
        <w:rPr>
          <w:rFonts w:ascii="Arial" w:cs="Arial" w:eastAsia="Arial" w:hAnsi="Arial"/>
          <w:b w:val="false"/>
          <w:bCs w:val="false"/>
          <w:i w:val="false"/>
          <w:iCs w:val="false"/>
          <w:color w:val="E8E2D9"/>
          <w:sz w:val="20"/>
          <w:szCs w:val="20"/>
        </w:rPr>
        <w:t xml:space="preserve">For a Swiss IAM using Vektor, the platform’s documentation, audit trail, and systematic methodology are directly relevant to the AO’s review of the investment process, risk management, and best execution compliance. Vektor is positioned as a systematic tool that helps Swiss IAMs produce the compliance evidence FinIA requires as a natural output of the investment process.</w:t>
      </w:r>
    </w:p>
    <w:p>
      <w:pPr>
        <w:spacing w:after="0" w:before="8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AABCD4" w:sz="1"/>
              <w:left w:val="single" w:color="C8A96E" w:sz="12"/>
              <w:bottom w:val="single" w:color="AABCD4" w:sz="1"/>
              <w:right w:val="single" w:color="AABCD4" w:sz="1"/>
            </w:tcBorders>
            <w:shd w:fill="111118" w:val="clear"/>
            <w:tcMar>
              <w:top w:type="dxa" w:w="90"/>
              <w:left w:type="dxa" w:w="200"/>
              <w:bottom w:type="dxa" w:w="90"/>
              <w:right w:type="dxa" w:w="140"/>
            </w:tcMar>
          </w:tcPr>
          <w:p>
            <w:pPr>
              <w:spacing w:after="30" w:before="30"/>
            </w:pPr>
            <w:r>
              <w:rPr>
                <w:rFonts w:ascii="Arial" w:cs="Arial" w:eastAsia="Arial" w:hAnsi="Arial"/>
                <w:color w:val="E8E8EC"/>
                <w:sz w:val="20"/>
                <w:szCs w:val="20"/>
              </w:rPr>
              <w:t xml:space="preserve">MET: Requirement is addressed by the current platform or documentation.</w:t>
            </w:r>
          </w:p>
        </w:tc>
      </w:tr>
      <w:tr>
        <w:tc>
          <w:tcPr>
            <w:tcW w:type="dxa" w:w="8600"/>
            <w:tcBorders>
              <w:top w:val="single" w:color="AABCD4" w:sz="1"/>
              <w:left w:val="single" w:color="C8A96E" w:sz="12"/>
              <w:bottom w:val="single" w:color="AABCD4" w:sz="1"/>
              <w:right w:val="single" w:color="AABCD4" w:sz="1"/>
            </w:tcBorders>
            <w:shd w:fill="111118" w:val="clear"/>
            <w:tcMar>
              <w:top w:type="dxa" w:w="90"/>
              <w:left w:type="dxa" w:w="200"/>
              <w:bottom w:type="dxa" w:w="90"/>
              <w:right w:type="dxa" w:w="140"/>
            </w:tcMar>
          </w:tcPr>
          <w:p>
            <w:pPr>
              <w:spacing w:after="30" w:before="30"/>
            </w:pPr>
            <w:r>
              <w:rPr>
                <w:rFonts w:ascii="Arial" w:cs="Arial" w:eastAsia="Arial" w:hAnsi="Arial"/>
                <w:color w:val="E8E8EC"/>
                <w:sz w:val="20"/>
                <w:szCs w:val="20"/>
              </w:rPr>
              <w:t xml:space="preserve">PARTIAL: Requirement is partially addressed. Gap and remediation noted.</w:t>
            </w:r>
          </w:p>
        </w:tc>
      </w:tr>
      <w:tr>
        <w:tc>
          <w:tcPr>
            <w:tcW w:type="dxa" w:w="8600"/>
            <w:tcBorders>
              <w:top w:val="single" w:color="AABCD4" w:sz="1"/>
              <w:left w:val="single" w:color="C8A96E" w:sz="12"/>
              <w:bottom w:val="single" w:color="AABCD4" w:sz="1"/>
              <w:right w:val="single" w:color="AABCD4" w:sz="1"/>
            </w:tcBorders>
            <w:shd w:fill="111118" w:val="clear"/>
            <w:tcMar>
              <w:top w:type="dxa" w:w="90"/>
              <w:left w:type="dxa" w:w="200"/>
              <w:bottom w:type="dxa" w:w="90"/>
              <w:right w:type="dxa" w:w="140"/>
            </w:tcMar>
          </w:tcPr>
          <w:p>
            <w:pPr>
              <w:spacing w:after="30" w:before="30"/>
            </w:pPr>
            <w:r>
              <w:rPr>
                <w:rFonts w:ascii="Arial" w:cs="Arial" w:eastAsia="Arial" w:hAnsi="Arial"/>
                <w:color w:val="E8E8EC"/>
                <w:sz w:val="20"/>
                <w:szCs w:val="20"/>
              </w:rPr>
              <w:t xml:space="preserve">GAP: Requirement is not currently addressed. Remediation planned.</w:t>
            </w:r>
          </w:p>
        </w:tc>
      </w:tr>
      <w:tr>
        <w:tc>
          <w:tcPr>
            <w:tcW w:type="dxa" w:w="8600"/>
            <w:tcBorders>
              <w:top w:val="single" w:color="AABCD4" w:sz="1"/>
              <w:left w:val="single" w:color="C8A96E" w:sz="12"/>
              <w:bottom w:val="single" w:color="AABCD4" w:sz="1"/>
              <w:right w:val="single" w:color="AABCD4" w:sz="1"/>
            </w:tcBorders>
            <w:shd w:fill="111118" w:val="clear"/>
            <w:tcMar>
              <w:top w:type="dxa" w:w="90"/>
              <w:left w:type="dxa" w:w="200"/>
              <w:bottom w:type="dxa" w:w="90"/>
              <w:right w:type="dxa" w:w="140"/>
            </w:tcMar>
          </w:tcPr>
          <w:p>
            <w:pPr>
              <w:spacing w:after="30" w:before="30"/>
            </w:pPr>
            <w:r>
              <w:rPr>
                <w:rFonts w:ascii="Arial" w:cs="Arial" w:eastAsia="Arial" w:hAnsi="Arial"/>
                <w:color w:val="E8E8EC"/>
                <w:sz w:val="20"/>
                <w:szCs w:val="20"/>
              </w:rPr>
              <w:t xml:space="preserve">N/A: Requirement does not apply to this platform at this stage.</w:t>
            </w:r>
          </w:p>
        </w:tc>
      </w:tr>
    </w:tbl>
    <w:p>
      <w:pPr>
        <w:spacing w:after="0" w:before="120"/>
      </w:pPr>
    </w:p>
    <w:p>
      <w:pPr>
        <w:pStyle w:val="Heading1"/>
        <w:pBdr>
          <w:bottom w:val="single" w:color="C8A96E" w:sz="3" w:space="4"/>
        </w:pBdr>
        <w:spacing w:after="80" w:before="360"/>
      </w:pPr>
      <w:r>
        <w:rPr>
          <w:rFonts w:ascii="Arial" w:cs="Arial" w:eastAsia="Arial" w:hAnsi="Arial"/>
          <w:b/>
          <w:bCs/>
          <w:caps/>
          <w:color w:val="C8A96E"/>
          <w:sz w:val="24"/>
          <w:szCs w:val="24"/>
        </w:rPr>
        <w:t xml:space="preserve">FinIA — Financial Institutions Act</w:t>
      </w:r>
    </w:p>
    <w:p>
      <w:pPr>
        <w:pStyle w:val="Heading2"/>
        <w:spacing w:after="60" w:before="240"/>
      </w:pPr>
      <w:r>
        <w:rPr>
          <w:rFonts w:ascii="Arial" w:cs="Arial" w:eastAsia="Arial" w:hAnsi="Arial"/>
          <w:b/>
          <w:bCs/>
          <w:color w:val="E8E8EC"/>
          <w:sz w:val="21"/>
          <w:szCs w:val="21"/>
        </w:rPr>
        <w:t xml:space="preserve">Investment Process Documentation</w:t>
      </w:r>
    </w:p>
    <w:p>
      <w:pPr>
        <w:spacing w:after="50" w:before="50" w:line="315" w:lineRule="auto"/>
      </w:pPr>
      <w:r>
        <w:rPr>
          <w:rFonts w:ascii="Arial" w:cs="Arial" w:eastAsia="Arial" w:hAnsi="Arial"/>
          <w:b w:val="false"/>
          <w:bCs w:val="false"/>
          <w:i w:val="false"/>
          <w:iCs w:val="false"/>
          <w:color w:val="E8E2D9"/>
          <w:sz w:val="20"/>
          <w:szCs w:val="20"/>
        </w:rPr>
        <w:t xml:space="preserve">FinIA requires portfolio managers to document their investment process and make it available to their supervisory organisation. Vektor’s systematic methodology is documented across eleven research papers. The investment process is not a narrative description — it is a live, audited workflow that produces documented evidence with every decision.</w:t>
      </w:r>
    </w:p>
    <w:p>
      <w:pPr>
        <w:spacing w:after="0" w:before="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1800"/>
        <w:gridCol w:w="1200"/>
      </w:tblGrid>
      <w:tr>
        <w:trPr>
          <w:tblHeader/>
        </w:trPr>
        <w:tc>
          <w:tcPr>
            <w:tcW w:type="dxa" w:w="1600"/>
            <w:tcBorders>
              <w:top w:val="single" w:color="2A2A35" w:sz="1"/>
              <w:left w:val="single" w:color="2A2A35" w:sz="1"/>
              <w:bottom w:val="single" w:color="2A2A35" w:sz="1"/>
              <w:right w:val="single" w:color="2A2A35" w:sz="1"/>
            </w:tcBorders>
            <w:shd w:fill="C8A96E" w:val="clear"/>
            <w:tcMar>
              <w:top w:type="dxa" w:w="70"/>
              <w:left w:type="dxa" w:w="100"/>
              <w:bottom w:type="dxa" w:w="70"/>
              <w:right w:type="dxa" w:w="100"/>
            </w:tcMar>
          </w:tcPr>
          <w:p>
            <w:r>
              <w:rPr>
                <w:rFonts w:ascii="Arial" w:cs="Arial" w:eastAsia="Arial" w:hAnsi="Arial"/>
                <w:b/>
                <w:bCs/>
                <w:color w:val="0A0A0F"/>
                <w:sz w:val="17"/>
                <w:szCs w:val="17"/>
              </w:rPr>
              <w:t xml:space="preserve">Requirement</w:t>
            </w:r>
          </w:p>
        </w:tc>
        <w:tc>
          <w:tcPr>
            <w:tcW w:type="dxa" w:w="2200"/>
            <w:tcBorders>
              <w:top w:val="single" w:color="2A2A35" w:sz="1"/>
              <w:left w:val="single" w:color="2A2A35" w:sz="1"/>
              <w:bottom w:val="single" w:color="2A2A35" w:sz="1"/>
              <w:right w:val="single" w:color="2A2A35" w:sz="1"/>
            </w:tcBorders>
            <w:shd w:fill="C8A96E" w:val="clear"/>
            <w:tcMar>
              <w:top w:type="dxa" w:w="70"/>
              <w:left w:type="dxa" w:w="100"/>
              <w:bottom w:type="dxa" w:w="70"/>
              <w:right w:type="dxa" w:w="100"/>
            </w:tcMar>
          </w:tcPr>
          <w:p>
            <w:r>
              <w:rPr>
                <w:rFonts w:ascii="Arial" w:cs="Arial" w:eastAsia="Arial" w:hAnsi="Arial"/>
                <w:b/>
                <w:bCs/>
                <w:color w:val="0A0A0F"/>
                <w:sz w:val="17"/>
                <w:szCs w:val="17"/>
              </w:rPr>
              <w:t xml:space="preserve">Description</w:t>
            </w:r>
          </w:p>
        </w:tc>
        <w:tc>
          <w:tcPr>
            <w:tcW w:type="dxa" w:w="2800"/>
            <w:tcBorders>
              <w:top w:val="single" w:color="2A2A35" w:sz="1"/>
              <w:left w:val="single" w:color="2A2A35" w:sz="1"/>
              <w:bottom w:val="single" w:color="2A2A35" w:sz="1"/>
              <w:right w:val="single" w:color="2A2A35" w:sz="1"/>
            </w:tcBorders>
            <w:shd w:fill="C8A96E" w:val="clear"/>
            <w:tcMar>
              <w:top w:type="dxa" w:w="70"/>
              <w:left w:type="dxa" w:w="100"/>
              <w:bottom w:type="dxa" w:w="70"/>
              <w:right w:type="dxa" w:w="100"/>
            </w:tcMar>
          </w:tcPr>
          <w:p>
            <w:r>
              <w:rPr>
                <w:rFonts w:ascii="Arial" w:cs="Arial" w:eastAsia="Arial" w:hAnsi="Arial"/>
                <w:b/>
                <w:bCs/>
                <w:color w:val="0A0A0F"/>
                <w:sz w:val="17"/>
                <w:szCs w:val="17"/>
              </w:rPr>
              <w:t xml:space="preserve">InvestPuppy Position</w:t>
            </w:r>
          </w:p>
        </w:tc>
        <w:tc>
          <w:tcPr>
            <w:tcW w:type="dxa" w:w="1800"/>
            <w:tcBorders>
              <w:top w:val="single" w:color="2A2A35" w:sz="1"/>
              <w:left w:val="single" w:color="2A2A35" w:sz="1"/>
              <w:bottom w:val="single" w:color="2A2A35" w:sz="1"/>
              <w:right w:val="single" w:color="2A2A35" w:sz="1"/>
            </w:tcBorders>
            <w:shd w:fill="C8A96E" w:val="clear"/>
            <w:tcMar>
              <w:top w:type="dxa" w:w="70"/>
              <w:left w:type="dxa" w:w="100"/>
              <w:bottom w:type="dxa" w:w="70"/>
              <w:right w:type="dxa" w:w="100"/>
            </w:tcMar>
          </w:tcPr>
          <w:p>
            <w:r>
              <w:rPr>
                <w:rFonts w:ascii="Arial" w:cs="Arial" w:eastAsia="Arial" w:hAnsi="Arial"/>
                <w:b/>
                <w:bCs/>
                <w:color w:val="0A0A0F"/>
                <w:sz w:val="17"/>
                <w:szCs w:val="17"/>
              </w:rPr>
              <w:t xml:space="preserve">Evidence</w:t>
            </w:r>
          </w:p>
        </w:tc>
        <w:tc>
          <w:tcPr>
            <w:tcW w:type="dxa" w:w="1200"/>
            <w:tcBorders>
              <w:top w:val="single" w:color="2A2A35" w:sz="1"/>
              <w:left w:val="single" w:color="2A2A35" w:sz="1"/>
              <w:bottom w:val="single" w:color="2A2A35" w:sz="1"/>
              <w:right w:val="single" w:color="2A2A35" w:sz="1"/>
            </w:tcBorders>
            <w:shd w:fill="C8A96E" w:val="clear"/>
            <w:tcMar>
              <w:top w:type="dxa" w:w="70"/>
              <w:left w:type="dxa" w:w="100"/>
              <w:bottom w:type="dxa" w:w="70"/>
              <w:right w:type="dxa" w:w="100"/>
            </w:tcMar>
          </w:tcPr>
          <w:p>
            <w:r>
              <w:rPr>
                <w:rFonts w:ascii="Arial" w:cs="Arial" w:eastAsia="Arial" w:hAnsi="Arial"/>
                <w:b/>
                <w:bCs/>
                <w:color w:val="0A0A0F"/>
                <w:sz w:val="17"/>
                <w:szCs w:val="17"/>
              </w:rPr>
              <w:t xml:space="preserve">Status</w:t>
            </w:r>
          </w:p>
        </w:tc>
      </w:tr>
      <w:tr>
        <w:tc>
          <w:tcPr>
            <w:tcW w:type="dxa" w:w="16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b/>
                <w:bCs/>
                <w:color w:val="E8E8EC"/>
                <w:sz w:val="17"/>
                <w:szCs w:val="17"/>
              </w:rPr>
              <w:t xml:space="preserve">FinIA Art.25 — Organisation</w:t>
            </w:r>
          </w:p>
        </w:tc>
        <w:tc>
          <w:tcPr>
            <w:tcW w:type="dxa" w:w="22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color w:val="E8E2D9"/>
                <w:sz w:val="17"/>
                <w:szCs w:val="17"/>
              </w:rPr>
              <w:t xml:space="preserve">Portfolio managers must have an adequate organisational structure for investment management</w:t>
            </w:r>
          </w:p>
        </w:tc>
        <w:tc>
          <w:tcPr>
            <w:tcW w:type="dxa" w:w="28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color w:val="E8E2D9"/>
                <w:sz w:val="17"/>
                <w:szCs w:val="17"/>
              </w:rPr>
              <w:t xml:space="preserve">Vektor’s platform provides the systematic investment workflow. The licensed IAM’s organisational structure includes Vektor as the systematic construction and execution tool, with the portfolio manager retaining decision authority.</w:t>
            </w:r>
          </w:p>
        </w:tc>
        <w:tc>
          <w:tcPr>
            <w:tcW w:type="dxa" w:w="18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color w:val="E8E2D9"/>
                <w:sz w:val="17"/>
                <w:szCs w:val="17"/>
              </w:rPr>
              <w:t xml:space="preserve">WP-01 through WP-11; UC02 workflow; platform documentation</w:t>
            </w:r>
          </w:p>
        </w:tc>
        <w:tc>
          <w:tcPr>
            <w:tcW w:type="dxa" w:w="1200"/>
            <w:tcBorders>
              <w:top w:val="single" w:color="2A2A35" w:sz="1"/>
              <w:left w:val="single" w:color="2A2A35" w:sz="1"/>
              <w:bottom w:val="single" w:color="2A2A35" w:sz="1"/>
              <w:right w:val="single" w:color="2A2A35"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MET</w:t>
            </w:r>
          </w:p>
        </w:tc>
      </w:tr>
      <w:tr>
        <w:tc>
          <w:tcPr>
            <w:tcW w:type="dxa" w:w="1600"/>
            <w:tcBorders>
              <w:top w:val="single" w:color="2A2A35" w:sz="1"/>
              <w:left w:val="single" w:color="2A2A35" w:sz="1"/>
              <w:bottom w:val="single" w:color="2A2A35" w:sz="1"/>
              <w:right w:val="single" w:color="2A2A35" w:sz="1"/>
            </w:tcBorders>
            <w:shd w:fill="0A0A0F" w:val="clear"/>
            <w:tcMar>
              <w:top w:type="dxa" w:w="60"/>
              <w:left w:type="dxa" w:w="100"/>
              <w:bottom w:type="dxa" w:w="60"/>
              <w:right w:type="dxa" w:w="100"/>
            </w:tcMar>
          </w:tcPr>
          <w:p>
            <w:r>
              <w:rPr>
                <w:rFonts w:ascii="Arial" w:cs="Arial" w:eastAsia="Arial" w:hAnsi="Arial"/>
                <w:b/>
                <w:bCs/>
                <w:color w:val="E8E8EC"/>
                <w:sz w:val="17"/>
                <w:szCs w:val="17"/>
              </w:rPr>
              <w:t xml:space="preserve">FinIA — Investment guidelines</w:t>
            </w:r>
          </w:p>
        </w:tc>
        <w:tc>
          <w:tcPr>
            <w:tcW w:type="dxa" w:w="2200"/>
            <w:tcBorders>
              <w:top w:val="single" w:color="2A2A35" w:sz="1"/>
              <w:left w:val="single" w:color="2A2A35" w:sz="1"/>
              <w:bottom w:val="single" w:color="2A2A35" w:sz="1"/>
              <w:right w:val="single" w:color="2A2A35" w:sz="1"/>
            </w:tcBorders>
            <w:shd w:fill="0A0A0F" w:val="clear"/>
            <w:tcMar>
              <w:top w:type="dxa" w:w="60"/>
              <w:left w:type="dxa" w:w="100"/>
              <w:bottom w:type="dxa" w:w="60"/>
              <w:right w:type="dxa" w:w="100"/>
            </w:tcMar>
          </w:tcPr>
          <w:p>
            <w:r>
              <w:rPr>
                <w:rFonts w:ascii="Arial" w:cs="Arial" w:eastAsia="Arial" w:hAnsi="Arial"/>
                <w:color w:val="E8E2D9"/>
                <w:sz w:val="17"/>
                <w:szCs w:val="17"/>
              </w:rPr>
              <w:t xml:space="preserve">Portfolio managers must have documented investment guidelines and risk limits</w:t>
            </w:r>
          </w:p>
        </w:tc>
        <w:tc>
          <w:tcPr>
            <w:tcW w:type="dxa" w:w="2800"/>
            <w:tcBorders>
              <w:top w:val="single" w:color="2A2A35" w:sz="1"/>
              <w:left w:val="single" w:color="2A2A35" w:sz="1"/>
              <w:bottom w:val="single" w:color="2A2A35" w:sz="1"/>
              <w:right w:val="single" w:color="2A2A35" w:sz="1"/>
            </w:tcBorders>
            <w:shd w:fill="0A0A0F" w:val="clear"/>
            <w:tcMar>
              <w:top w:type="dxa" w:w="60"/>
              <w:left w:type="dxa" w:w="100"/>
              <w:bottom w:type="dxa" w:w="60"/>
              <w:right w:type="dxa" w:w="100"/>
            </w:tcMar>
          </w:tcPr>
          <w:p>
            <w:r>
              <w:rPr>
                <w:rFonts w:ascii="Arial" w:cs="Arial" w:eastAsia="Arial" w:hAnsi="Arial"/>
                <w:color w:val="E8E2D9"/>
                <w:sz w:val="17"/>
                <w:szCs w:val="17"/>
              </w:rPr>
              <w:t xml:space="preserve">Vektor stores risk_tolerance at portfolio level. Strategy configuration documents the investment universe, instrument selection criteria, and allocation constraints. The IAM’s specific investment guidelines are configured in the platform and enforced systematically.</w:t>
            </w:r>
          </w:p>
        </w:tc>
        <w:tc>
          <w:tcPr>
            <w:tcW w:type="dxa" w:w="1800"/>
            <w:tcBorders>
              <w:top w:val="single" w:color="2A2A35" w:sz="1"/>
              <w:left w:val="single" w:color="2A2A35" w:sz="1"/>
              <w:bottom w:val="single" w:color="2A2A35" w:sz="1"/>
              <w:right w:val="single" w:color="2A2A35" w:sz="1"/>
            </w:tcBorders>
            <w:shd w:fill="0A0A0F" w:val="clear"/>
            <w:tcMar>
              <w:top w:type="dxa" w:w="60"/>
              <w:left w:type="dxa" w:w="100"/>
              <w:bottom w:type="dxa" w:w="60"/>
              <w:right w:type="dxa" w:w="100"/>
            </w:tcMar>
          </w:tcPr>
          <w:p>
            <w:r>
              <w:rPr>
                <w:rFonts w:ascii="Arial" w:cs="Arial" w:eastAsia="Arial" w:hAnsi="Arial"/>
                <w:color w:val="E8E2D9"/>
                <w:sz w:val="17"/>
                <w:szCs w:val="17"/>
              </w:rPr>
              <w:t xml:space="preserve">Data model: portfolio_master, strategy_master; WP-03 capital allocation</w:t>
            </w:r>
          </w:p>
        </w:tc>
        <w:tc>
          <w:tcPr>
            <w:tcW w:type="dxa" w:w="1200"/>
            <w:tcBorders>
              <w:top w:val="single" w:color="2A2A35" w:sz="1"/>
              <w:left w:val="single" w:color="2A2A35" w:sz="1"/>
              <w:bottom w:val="single" w:color="2A2A35" w:sz="1"/>
              <w:right w:val="single" w:color="2A2A35" w:sz="1"/>
            </w:tcBorders>
            <w:shd w:fill="FFF3E0" w:val="clear"/>
            <w:tcMar>
              <w:top w:type="dxa" w:w="60"/>
              <w:left w:type="dxa" w:w="100"/>
              <w:bottom w:type="dxa" w:w="60"/>
              <w:right w:type="dxa" w:w="100"/>
            </w:tcMar>
          </w:tcPr>
          <w:p>
            <w:r>
              <w:rPr>
                <w:rFonts w:ascii="Arial" w:cs="Arial" w:eastAsia="Arial" w:hAnsi="Arial"/>
                <w:b/>
                <w:bCs/>
                <w:color w:val="E65100"/>
                <w:sz w:val="17"/>
                <w:szCs w:val="17"/>
              </w:rPr>
              <w:t xml:space="preserve">PARTIAL</w:t>
            </w:r>
          </w:p>
        </w:tc>
      </w:tr>
      <w:tr>
        <w:tc>
          <w:tcPr>
            <w:tcW w:type="dxa" w:w="16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b/>
                <w:bCs/>
                <w:color w:val="E8E8EC"/>
                <w:sz w:val="17"/>
                <w:szCs w:val="17"/>
              </w:rPr>
              <w:t xml:space="preserve">FinIA — Risk management</w:t>
            </w:r>
          </w:p>
        </w:tc>
        <w:tc>
          <w:tcPr>
            <w:tcW w:type="dxa" w:w="22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color w:val="E8E2D9"/>
                <w:sz w:val="17"/>
                <w:szCs w:val="17"/>
              </w:rPr>
              <w:t xml:space="preserve">Adequate risk management procedures must be documented and implemented</w:t>
            </w:r>
          </w:p>
        </w:tc>
        <w:tc>
          <w:tcPr>
            <w:tcW w:type="dxa" w:w="28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color w:val="E8E2D9"/>
                <w:sz w:val="17"/>
                <w:szCs w:val="17"/>
              </w:rPr>
              <w:t xml:space="preserve">Vektor tracks position risk through target vs actual weight drift, correlation analysis, and Sharpe ratio monitoring. WP-09 documents risk disclosure. The ML validation layer reduces execution of signals with adverse risk characteristics.</w:t>
            </w:r>
          </w:p>
        </w:tc>
        <w:tc>
          <w:tcPr>
            <w:tcW w:type="dxa" w:w="18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color w:val="E8E2D9"/>
                <w:sz w:val="17"/>
                <w:szCs w:val="17"/>
              </w:rPr>
              <w:t xml:space="preserve">WP-09 risk disclosure; data model: portfolio_positions; WP-08 ML philosophy</w:t>
            </w:r>
          </w:p>
        </w:tc>
        <w:tc>
          <w:tcPr>
            <w:tcW w:type="dxa" w:w="1200"/>
            <w:tcBorders>
              <w:top w:val="single" w:color="2A2A35" w:sz="1"/>
              <w:left w:val="single" w:color="2A2A35" w:sz="1"/>
              <w:bottom w:val="single" w:color="2A2A35" w:sz="1"/>
              <w:right w:val="single" w:color="2A2A35"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MET</w:t>
            </w:r>
          </w:p>
        </w:tc>
      </w:tr>
      <w:tr>
        <w:tc>
          <w:tcPr>
            <w:tcW w:type="dxa" w:w="1600"/>
            <w:tcBorders>
              <w:top w:val="single" w:color="2A2A35" w:sz="1"/>
              <w:left w:val="single" w:color="2A2A35" w:sz="1"/>
              <w:bottom w:val="single" w:color="2A2A35" w:sz="1"/>
              <w:right w:val="single" w:color="2A2A35" w:sz="1"/>
            </w:tcBorders>
            <w:shd w:fill="0A0A0F" w:val="clear"/>
            <w:tcMar>
              <w:top w:type="dxa" w:w="60"/>
              <w:left w:type="dxa" w:w="100"/>
              <w:bottom w:type="dxa" w:w="60"/>
              <w:right w:type="dxa" w:w="100"/>
            </w:tcMar>
          </w:tcPr>
          <w:p>
            <w:r>
              <w:rPr>
                <w:rFonts w:ascii="Arial" w:cs="Arial" w:eastAsia="Arial" w:hAnsi="Arial"/>
                <w:b/>
                <w:bCs/>
                <w:color w:val="E8E8EC"/>
                <w:sz w:val="17"/>
                <w:szCs w:val="17"/>
              </w:rPr>
              <w:t xml:space="preserve">FinIA — Conflicts of interest</w:t>
            </w:r>
          </w:p>
        </w:tc>
        <w:tc>
          <w:tcPr>
            <w:tcW w:type="dxa" w:w="2200"/>
            <w:tcBorders>
              <w:top w:val="single" w:color="2A2A35" w:sz="1"/>
              <w:left w:val="single" w:color="2A2A35" w:sz="1"/>
              <w:bottom w:val="single" w:color="2A2A35" w:sz="1"/>
              <w:right w:val="single" w:color="2A2A35" w:sz="1"/>
            </w:tcBorders>
            <w:shd w:fill="0A0A0F" w:val="clear"/>
            <w:tcMar>
              <w:top w:type="dxa" w:w="60"/>
              <w:left w:type="dxa" w:w="100"/>
              <w:bottom w:type="dxa" w:w="60"/>
              <w:right w:type="dxa" w:w="100"/>
            </w:tcMar>
          </w:tcPr>
          <w:p>
            <w:r>
              <w:rPr>
                <w:rFonts w:ascii="Arial" w:cs="Arial" w:eastAsia="Arial" w:hAnsi="Arial"/>
                <w:color w:val="E8E2D9"/>
                <w:sz w:val="17"/>
                <w:szCs w:val="17"/>
              </w:rPr>
              <w:t xml:space="preserve">Portfolio managers must document and manage conflicts of interest</w:t>
            </w:r>
          </w:p>
        </w:tc>
        <w:tc>
          <w:tcPr>
            <w:tcW w:type="dxa" w:w="2800"/>
            <w:tcBorders>
              <w:top w:val="single" w:color="2A2A35" w:sz="1"/>
              <w:left w:val="single" w:color="2A2A35" w:sz="1"/>
              <w:bottom w:val="single" w:color="2A2A35" w:sz="1"/>
              <w:right w:val="single" w:color="2A2A35" w:sz="1"/>
            </w:tcBorders>
            <w:shd w:fill="0A0A0F" w:val="clear"/>
            <w:tcMar>
              <w:top w:type="dxa" w:w="60"/>
              <w:left w:type="dxa" w:w="100"/>
              <w:bottom w:type="dxa" w:w="60"/>
              <w:right w:type="dxa" w:w="100"/>
            </w:tcMar>
          </w:tcPr>
          <w:p>
            <w:r>
              <w:rPr>
                <w:rFonts w:ascii="Arial" w:cs="Arial" w:eastAsia="Arial" w:hAnsi="Arial"/>
                <w:color w:val="E8E2D9"/>
                <w:sz w:val="17"/>
                <w:szCs w:val="17"/>
              </w:rPr>
              <w:t xml:space="preserve">Conflicts of interest management is the responsibility of the licensed IAM. Vektor’s systematic, rules-based approach to signal generation and order creation reduces discretionary decision-making that could give rise to conflicts. Documentation of the conflict management framework is the IAM’s responsibility.</w:t>
            </w:r>
          </w:p>
        </w:tc>
        <w:tc>
          <w:tcPr>
            <w:tcW w:type="dxa" w:w="1800"/>
            <w:tcBorders>
              <w:top w:val="single" w:color="2A2A35" w:sz="1"/>
              <w:left w:val="single" w:color="2A2A35" w:sz="1"/>
              <w:bottom w:val="single" w:color="2A2A35" w:sz="1"/>
              <w:right w:val="single" w:color="2A2A35" w:sz="1"/>
            </w:tcBorders>
            <w:shd w:fill="0A0A0F" w:val="clear"/>
            <w:tcMar>
              <w:top w:type="dxa" w:w="60"/>
              <w:left w:type="dxa" w:w="100"/>
              <w:bottom w:type="dxa" w:w="60"/>
              <w:right w:type="dxa" w:w="100"/>
            </w:tcMar>
          </w:tcPr>
          <w:p>
            <w:r>
              <w:rPr>
                <w:rFonts w:ascii="Arial" w:cs="Arial" w:eastAsia="Arial" w:hAnsi="Arial"/>
                <w:color w:val="E8E2D9"/>
                <w:sz w:val="17"/>
                <w:szCs w:val="17"/>
              </w:rPr>
              <w:t xml:space="preserve">What Vektor Is Not; platform documentation</w:t>
            </w:r>
          </w:p>
        </w:tc>
        <w:tc>
          <w:tcPr>
            <w:tcW w:type="dxa" w:w="1200"/>
            <w:tcBorders>
              <w:top w:val="single" w:color="2A2A35" w:sz="1"/>
              <w:left w:val="single" w:color="2A2A35" w:sz="1"/>
              <w:bottom w:val="single" w:color="2A2A35" w:sz="1"/>
              <w:right w:val="single" w:color="2A2A35" w:sz="1"/>
            </w:tcBorders>
            <w:shd w:fill="F5F5F5" w:val="clear"/>
            <w:tcMar>
              <w:top w:type="dxa" w:w="60"/>
              <w:left w:type="dxa" w:w="100"/>
              <w:bottom w:type="dxa" w:w="60"/>
              <w:right w:type="dxa" w:w="100"/>
            </w:tcMar>
          </w:tcPr>
          <w:p>
            <w:r>
              <w:rPr>
                <w:rFonts w:ascii="Arial" w:cs="Arial" w:eastAsia="Arial" w:hAnsi="Arial"/>
                <w:b/>
                <w:bCs/>
                <w:color w:val="777777"/>
                <w:sz w:val="17"/>
                <w:szCs w:val="17"/>
              </w:rPr>
              <w:t xml:space="preserve">N/A</w:t>
            </w:r>
          </w:p>
        </w:tc>
      </w:tr>
      <w:tr>
        <w:tc>
          <w:tcPr>
            <w:tcW w:type="dxa" w:w="16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b/>
                <w:bCs/>
                <w:color w:val="E8E8EC"/>
                <w:sz w:val="17"/>
                <w:szCs w:val="17"/>
              </w:rPr>
              <w:t xml:space="preserve">FinIA — Best execution</w:t>
            </w:r>
          </w:p>
        </w:tc>
        <w:tc>
          <w:tcPr>
            <w:tcW w:type="dxa" w:w="22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color w:val="E8E2D9"/>
                <w:sz w:val="17"/>
                <w:szCs w:val="17"/>
              </w:rPr>
              <w:t xml:space="preserve">Portfolio managers must achieve best execution for client orders</w:t>
            </w:r>
          </w:p>
        </w:tc>
        <w:tc>
          <w:tcPr>
            <w:tcW w:type="dxa" w:w="28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color w:val="E8E2D9"/>
                <w:sz w:val="17"/>
                <w:szCs w:val="17"/>
              </w:rPr>
              <w:t xml:space="preserve">Best execution is the responsibility of the licensed IAM. FINMA expects IAMs to maintain a written best execution policy reviewed annually. Vektor’s order audit trail supports the evidence requirements of that policy: every order records the instrument, venue, order type, fill price, and timestamp. The IAM’s policy covers the choice of venue; Vektor provides the execution evidence trail.</w:t>
            </w:r>
          </w:p>
        </w:tc>
        <w:tc>
          <w:tcPr>
            <w:tcW w:type="dxa" w:w="18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color w:val="E8E2D9"/>
                <w:sz w:val="17"/>
                <w:szCs w:val="17"/>
              </w:rPr>
              <w:t xml:space="preserve">Order management documentation; order_events audit trail; UC02 workflow; best execution policy template (pending)</w:t>
            </w:r>
          </w:p>
        </w:tc>
        <w:tc>
          <w:tcPr>
            <w:tcW w:type="dxa" w:w="1200"/>
            <w:tcBorders>
              <w:top w:val="single" w:color="2A2A35" w:sz="1"/>
              <w:left w:val="single" w:color="2A2A35" w:sz="1"/>
              <w:bottom w:val="single" w:color="2A2A35" w:sz="1"/>
              <w:right w:val="single" w:color="2A2A35" w:sz="1"/>
            </w:tcBorders>
            <w:shd w:fill="FFF3E0" w:val="clear"/>
            <w:tcMar>
              <w:top w:type="dxa" w:w="60"/>
              <w:left w:type="dxa" w:w="100"/>
              <w:bottom w:type="dxa" w:w="60"/>
              <w:right w:type="dxa" w:w="100"/>
            </w:tcMar>
          </w:tcPr>
          <w:p>
            <w:r>
              <w:rPr>
                <w:rFonts w:ascii="Arial" w:cs="Arial" w:eastAsia="Arial" w:hAnsi="Arial"/>
                <w:b/>
                <w:bCs/>
                <w:color w:val="E65100"/>
                <w:sz w:val="17"/>
                <w:szCs w:val="17"/>
              </w:rPr>
              <w:t xml:space="preserve">PARTIAL</w:t>
            </w:r>
          </w:p>
        </w:tc>
      </w:tr>
    </w:tbl>
    <w:p>
      <w:pPr>
        <w:spacing w:after="0" w:before="120"/>
      </w:pPr>
    </w:p>
    <w:p>
      <w:pPr>
        <w:pStyle w:val="Heading1"/>
        <w:pBdr>
          <w:bottom w:val="single" w:color="C8A96E" w:sz="3" w:space="4"/>
        </w:pBdr>
        <w:spacing w:after="80" w:before="360"/>
      </w:pPr>
      <w:r>
        <w:rPr>
          <w:rFonts w:ascii="Arial" w:cs="Arial" w:eastAsia="Arial" w:hAnsi="Arial"/>
          <w:b/>
          <w:bCs/>
          <w:caps/>
          <w:color w:val="C8A96E"/>
          <w:sz w:val="24"/>
          <w:szCs w:val="24"/>
        </w:rPr>
        <w:t xml:space="preserve">FinSA — Financial Services Act</w:t>
      </w:r>
    </w:p>
    <w:p>
      <w:pPr>
        <w:pStyle w:val="Heading2"/>
        <w:spacing w:after="60" w:before="240"/>
      </w:pPr>
      <w:r>
        <w:rPr>
          <w:rFonts w:ascii="Arial" w:cs="Arial" w:eastAsia="Arial" w:hAnsi="Arial"/>
          <w:b/>
          <w:bCs/>
          <w:color w:val="E8E8EC"/>
          <w:sz w:val="21"/>
          <w:szCs w:val="21"/>
        </w:rPr>
        <w:t xml:space="preserve">Client Suitability</w:t>
      </w:r>
    </w:p>
    <w:p>
      <w:pPr>
        <w:spacing w:after="50" w:before="50" w:line="315" w:lineRule="auto"/>
      </w:pPr>
      <w:r>
        <w:rPr>
          <w:rFonts w:ascii="Arial" w:cs="Arial" w:eastAsia="Arial" w:hAnsi="Arial"/>
          <w:b w:val="false"/>
          <w:bCs w:val="false"/>
          <w:i w:val="false"/>
          <w:iCs w:val="false"/>
          <w:color w:val="E8E2D9"/>
          <w:sz w:val="20"/>
          <w:szCs w:val="20"/>
        </w:rPr>
        <w:t xml:space="preserve">FinSA requires that financial services are suitable for the client. This requires a documented suitability assessment process. Vektor stores the data elements required for suitability documentation but does not conduct the suitability assessment itself.</w:t>
      </w:r>
    </w:p>
    <w:p>
      <w:pPr>
        <w:spacing w:after="0" w:before="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1800"/>
        <w:gridCol w:w="1200"/>
      </w:tblGrid>
      <w:tr>
        <w:trPr>
          <w:tblHeader/>
        </w:trPr>
        <w:tc>
          <w:tcPr>
            <w:tcW w:type="dxa" w:w="1600"/>
            <w:tcBorders>
              <w:top w:val="single" w:color="2A2A35" w:sz="1"/>
              <w:left w:val="single" w:color="2A2A35" w:sz="1"/>
              <w:bottom w:val="single" w:color="2A2A35" w:sz="1"/>
              <w:right w:val="single" w:color="2A2A35" w:sz="1"/>
            </w:tcBorders>
            <w:shd w:fill="C8A96E" w:val="clear"/>
            <w:tcMar>
              <w:top w:type="dxa" w:w="70"/>
              <w:left w:type="dxa" w:w="100"/>
              <w:bottom w:type="dxa" w:w="70"/>
              <w:right w:type="dxa" w:w="100"/>
            </w:tcMar>
          </w:tcPr>
          <w:p>
            <w:r>
              <w:rPr>
                <w:rFonts w:ascii="Arial" w:cs="Arial" w:eastAsia="Arial" w:hAnsi="Arial"/>
                <w:b/>
                <w:bCs/>
                <w:color w:val="0A0A0F"/>
                <w:sz w:val="17"/>
                <w:szCs w:val="17"/>
              </w:rPr>
              <w:t xml:space="preserve">Requirement</w:t>
            </w:r>
          </w:p>
        </w:tc>
        <w:tc>
          <w:tcPr>
            <w:tcW w:type="dxa" w:w="2200"/>
            <w:tcBorders>
              <w:top w:val="single" w:color="2A2A35" w:sz="1"/>
              <w:left w:val="single" w:color="2A2A35" w:sz="1"/>
              <w:bottom w:val="single" w:color="2A2A35" w:sz="1"/>
              <w:right w:val="single" w:color="2A2A35" w:sz="1"/>
            </w:tcBorders>
            <w:shd w:fill="C8A96E" w:val="clear"/>
            <w:tcMar>
              <w:top w:type="dxa" w:w="70"/>
              <w:left w:type="dxa" w:w="100"/>
              <w:bottom w:type="dxa" w:w="70"/>
              <w:right w:type="dxa" w:w="100"/>
            </w:tcMar>
          </w:tcPr>
          <w:p>
            <w:r>
              <w:rPr>
                <w:rFonts w:ascii="Arial" w:cs="Arial" w:eastAsia="Arial" w:hAnsi="Arial"/>
                <w:b/>
                <w:bCs/>
                <w:color w:val="0A0A0F"/>
                <w:sz w:val="17"/>
                <w:szCs w:val="17"/>
              </w:rPr>
              <w:t xml:space="preserve">Description</w:t>
            </w:r>
          </w:p>
        </w:tc>
        <w:tc>
          <w:tcPr>
            <w:tcW w:type="dxa" w:w="2800"/>
            <w:tcBorders>
              <w:top w:val="single" w:color="2A2A35" w:sz="1"/>
              <w:left w:val="single" w:color="2A2A35" w:sz="1"/>
              <w:bottom w:val="single" w:color="2A2A35" w:sz="1"/>
              <w:right w:val="single" w:color="2A2A35" w:sz="1"/>
            </w:tcBorders>
            <w:shd w:fill="C8A96E" w:val="clear"/>
            <w:tcMar>
              <w:top w:type="dxa" w:w="70"/>
              <w:left w:type="dxa" w:w="100"/>
              <w:bottom w:type="dxa" w:w="70"/>
              <w:right w:type="dxa" w:w="100"/>
            </w:tcMar>
          </w:tcPr>
          <w:p>
            <w:r>
              <w:rPr>
                <w:rFonts w:ascii="Arial" w:cs="Arial" w:eastAsia="Arial" w:hAnsi="Arial"/>
                <w:b/>
                <w:bCs/>
                <w:color w:val="0A0A0F"/>
                <w:sz w:val="17"/>
                <w:szCs w:val="17"/>
              </w:rPr>
              <w:t xml:space="preserve">InvestPuppy Position</w:t>
            </w:r>
          </w:p>
        </w:tc>
        <w:tc>
          <w:tcPr>
            <w:tcW w:type="dxa" w:w="1800"/>
            <w:tcBorders>
              <w:top w:val="single" w:color="2A2A35" w:sz="1"/>
              <w:left w:val="single" w:color="2A2A35" w:sz="1"/>
              <w:bottom w:val="single" w:color="2A2A35" w:sz="1"/>
              <w:right w:val="single" w:color="2A2A35" w:sz="1"/>
            </w:tcBorders>
            <w:shd w:fill="C8A96E" w:val="clear"/>
            <w:tcMar>
              <w:top w:type="dxa" w:w="70"/>
              <w:left w:type="dxa" w:w="100"/>
              <w:bottom w:type="dxa" w:w="70"/>
              <w:right w:type="dxa" w:w="100"/>
            </w:tcMar>
          </w:tcPr>
          <w:p>
            <w:r>
              <w:rPr>
                <w:rFonts w:ascii="Arial" w:cs="Arial" w:eastAsia="Arial" w:hAnsi="Arial"/>
                <w:b/>
                <w:bCs/>
                <w:color w:val="0A0A0F"/>
                <w:sz w:val="17"/>
                <w:szCs w:val="17"/>
              </w:rPr>
              <w:t xml:space="preserve">Evidence</w:t>
            </w:r>
          </w:p>
        </w:tc>
        <w:tc>
          <w:tcPr>
            <w:tcW w:type="dxa" w:w="1200"/>
            <w:tcBorders>
              <w:top w:val="single" w:color="2A2A35" w:sz="1"/>
              <w:left w:val="single" w:color="2A2A35" w:sz="1"/>
              <w:bottom w:val="single" w:color="2A2A35" w:sz="1"/>
              <w:right w:val="single" w:color="2A2A35" w:sz="1"/>
            </w:tcBorders>
            <w:shd w:fill="C8A96E" w:val="clear"/>
            <w:tcMar>
              <w:top w:type="dxa" w:w="70"/>
              <w:left w:type="dxa" w:w="100"/>
              <w:bottom w:type="dxa" w:w="70"/>
              <w:right w:type="dxa" w:w="100"/>
            </w:tcMar>
          </w:tcPr>
          <w:p>
            <w:r>
              <w:rPr>
                <w:rFonts w:ascii="Arial" w:cs="Arial" w:eastAsia="Arial" w:hAnsi="Arial"/>
                <w:b/>
                <w:bCs/>
                <w:color w:val="0A0A0F"/>
                <w:sz w:val="17"/>
                <w:szCs w:val="17"/>
              </w:rPr>
              <w:t xml:space="preserve">Status</w:t>
            </w:r>
          </w:p>
        </w:tc>
      </w:tr>
      <w:tr>
        <w:tc>
          <w:tcPr>
            <w:tcW w:type="dxa" w:w="16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b/>
                <w:bCs/>
                <w:color w:val="E8E8EC"/>
                <w:sz w:val="17"/>
                <w:szCs w:val="17"/>
              </w:rPr>
              <w:t xml:space="preserve">FinSA Art.10 — Suitability assessment</w:t>
            </w:r>
          </w:p>
        </w:tc>
        <w:tc>
          <w:tcPr>
            <w:tcW w:type="dxa" w:w="22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color w:val="E8E2D9"/>
                <w:sz w:val="17"/>
                <w:szCs w:val="17"/>
              </w:rPr>
              <w:t xml:space="preserve">Financial services must be appropriate and suitable for the client’s profile</w:t>
            </w:r>
          </w:p>
        </w:tc>
        <w:tc>
          <w:tcPr>
            <w:tcW w:type="dxa" w:w="28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color w:val="E8E2D9"/>
                <w:sz w:val="17"/>
                <w:szCs w:val="17"/>
              </w:rPr>
              <w:t xml:space="preserve">Vektor stores risk_profile (customer level) and risk_tolerance (portfolio level). The systematic strategy construction uses risk tolerance as a parameter. Full suitability assessment — investment experience, financial situation, investment horizon, and risk capacity — is conducted and documented by the licensed IAM outside the platform.</w:t>
            </w:r>
          </w:p>
        </w:tc>
        <w:tc>
          <w:tcPr>
            <w:tcW w:type="dxa" w:w="18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color w:val="E8E2D9"/>
                <w:sz w:val="17"/>
                <w:szCs w:val="17"/>
              </w:rPr>
              <w:t xml:space="preserve">Data model: customer_master.risk_profile; portfolio_master.risk_tolerance</w:t>
            </w:r>
          </w:p>
        </w:tc>
        <w:tc>
          <w:tcPr>
            <w:tcW w:type="dxa" w:w="1200"/>
            <w:tcBorders>
              <w:top w:val="single" w:color="2A2A35" w:sz="1"/>
              <w:left w:val="single" w:color="2A2A35" w:sz="1"/>
              <w:bottom w:val="single" w:color="2A2A35" w:sz="1"/>
              <w:right w:val="single" w:color="2A2A35" w:sz="1"/>
            </w:tcBorders>
            <w:shd w:fill="FFF3E0" w:val="clear"/>
            <w:tcMar>
              <w:top w:type="dxa" w:w="60"/>
              <w:left w:type="dxa" w:w="100"/>
              <w:bottom w:type="dxa" w:w="60"/>
              <w:right w:type="dxa" w:w="100"/>
            </w:tcMar>
          </w:tcPr>
          <w:p>
            <w:r>
              <w:rPr>
                <w:rFonts w:ascii="Arial" w:cs="Arial" w:eastAsia="Arial" w:hAnsi="Arial"/>
                <w:b/>
                <w:bCs/>
                <w:color w:val="E65100"/>
                <w:sz w:val="17"/>
                <w:szCs w:val="17"/>
              </w:rPr>
              <w:t xml:space="preserve">PARTIAL</w:t>
            </w:r>
          </w:p>
        </w:tc>
      </w:tr>
      <w:tr>
        <w:tc>
          <w:tcPr>
            <w:tcW w:type="dxa" w:w="1600"/>
            <w:tcBorders>
              <w:top w:val="single" w:color="2A2A35" w:sz="1"/>
              <w:left w:val="single" w:color="2A2A35" w:sz="1"/>
              <w:bottom w:val="single" w:color="2A2A35" w:sz="1"/>
              <w:right w:val="single" w:color="2A2A35" w:sz="1"/>
            </w:tcBorders>
            <w:shd w:fill="0A0A0F" w:val="clear"/>
            <w:tcMar>
              <w:top w:type="dxa" w:w="60"/>
              <w:left w:type="dxa" w:w="100"/>
              <w:bottom w:type="dxa" w:w="60"/>
              <w:right w:type="dxa" w:w="100"/>
            </w:tcMar>
          </w:tcPr>
          <w:p>
            <w:r>
              <w:rPr>
                <w:rFonts w:ascii="Arial" w:cs="Arial" w:eastAsia="Arial" w:hAnsi="Arial"/>
                <w:b/>
                <w:bCs/>
                <w:color w:val="E8E8EC"/>
                <w:sz w:val="17"/>
                <w:szCs w:val="17"/>
              </w:rPr>
              <w:t xml:space="preserve">FinSA Art.16 — Documentation</w:t>
            </w:r>
          </w:p>
        </w:tc>
        <w:tc>
          <w:tcPr>
            <w:tcW w:type="dxa" w:w="2200"/>
            <w:tcBorders>
              <w:top w:val="single" w:color="2A2A35" w:sz="1"/>
              <w:left w:val="single" w:color="2A2A35" w:sz="1"/>
              <w:bottom w:val="single" w:color="2A2A35" w:sz="1"/>
              <w:right w:val="single" w:color="2A2A35" w:sz="1"/>
            </w:tcBorders>
            <w:shd w:fill="0A0A0F" w:val="clear"/>
            <w:tcMar>
              <w:top w:type="dxa" w:w="60"/>
              <w:left w:type="dxa" w:w="100"/>
              <w:bottom w:type="dxa" w:w="60"/>
              <w:right w:type="dxa" w:w="100"/>
            </w:tcMar>
          </w:tcPr>
          <w:p>
            <w:r>
              <w:rPr>
                <w:rFonts w:ascii="Arial" w:cs="Arial" w:eastAsia="Arial" w:hAnsi="Arial"/>
                <w:color w:val="E8E2D9"/>
                <w:sz w:val="17"/>
                <w:szCs w:val="17"/>
              </w:rPr>
              <w:t xml:space="preserve">Financial service providers must document services provided and the basis for suitability</w:t>
            </w:r>
          </w:p>
        </w:tc>
        <w:tc>
          <w:tcPr>
            <w:tcW w:type="dxa" w:w="2800"/>
            <w:tcBorders>
              <w:top w:val="single" w:color="2A2A35" w:sz="1"/>
              <w:left w:val="single" w:color="2A2A35" w:sz="1"/>
              <w:bottom w:val="single" w:color="2A2A35" w:sz="1"/>
              <w:right w:val="single" w:color="2A2A35" w:sz="1"/>
            </w:tcBorders>
            <w:shd w:fill="0A0A0F" w:val="clear"/>
            <w:tcMar>
              <w:top w:type="dxa" w:w="60"/>
              <w:left w:type="dxa" w:w="100"/>
              <w:bottom w:type="dxa" w:w="60"/>
              <w:right w:type="dxa" w:w="100"/>
            </w:tcMar>
          </w:tcPr>
          <w:p>
            <w:r>
              <w:rPr>
                <w:rFonts w:ascii="Arial" w:cs="Arial" w:eastAsia="Arial" w:hAnsi="Arial"/>
                <w:color w:val="E8E2D9"/>
                <w:sz w:val="17"/>
                <w:szCs w:val="17"/>
              </w:rPr>
              <w:t xml:space="preserve">Vektor’s audit trail documents every investment decision made through the platform. The signal record, the ML validation result, the order, and the execution are all stored. The platform’s contribution to FinSA documentation is the systematic evidence trail for execution decisions.</w:t>
            </w:r>
          </w:p>
        </w:tc>
        <w:tc>
          <w:tcPr>
            <w:tcW w:type="dxa" w:w="1800"/>
            <w:tcBorders>
              <w:top w:val="single" w:color="2A2A35" w:sz="1"/>
              <w:left w:val="single" w:color="2A2A35" w:sz="1"/>
              <w:bottom w:val="single" w:color="2A2A35" w:sz="1"/>
              <w:right w:val="single" w:color="2A2A35" w:sz="1"/>
            </w:tcBorders>
            <w:shd w:fill="0A0A0F" w:val="clear"/>
            <w:tcMar>
              <w:top w:type="dxa" w:w="60"/>
              <w:left w:type="dxa" w:w="100"/>
              <w:bottom w:type="dxa" w:w="60"/>
              <w:right w:type="dxa" w:w="100"/>
            </w:tcMar>
          </w:tcPr>
          <w:p>
            <w:r>
              <w:rPr>
                <w:rFonts w:ascii="Arial" w:cs="Arial" w:eastAsia="Arial" w:hAnsi="Arial"/>
                <w:color w:val="E8E2D9"/>
                <w:sz w:val="17"/>
                <w:szCs w:val="17"/>
              </w:rPr>
              <w:t xml:space="preserve">Order audit trail; order_events; signal and ML validation records</w:t>
            </w:r>
          </w:p>
        </w:tc>
        <w:tc>
          <w:tcPr>
            <w:tcW w:type="dxa" w:w="1200"/>
            <w:tcBorders>
              <w:top w:val="single" w:color="2A2A35" w:sz="1"/>
              <w:left w:val="single" w:color="2A2A35" w:sz="1"/>
              <w:bottom w:val="single" w:color="2A2A35" w:sz="1"/>
              <w:right w:val="single" w:color="2A2A35"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MET</w:t>
            </w:r>
          </w:p>
        </w:tc>
      </w:tr>
      <w:tr>
        <w:tc>
          <w:tcPr>
            <w:tcW w:type="dxa" w:w="16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b/>
                <w:bCs/>
                <w:color w:val="E8E8EC"/>
                <w:sz w:val="17"/>
                <w:szCs w:val="17"/>
              </w:rPr>
              <w:t xml:space="preserve">FinSA Art.8 — Client classification</w:t>
            </w:r>
          </w:p>
        </w:tc>
        <w:tc>
          <w:tcPr>
            <w:tcW w:type="dxa" w:w="22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color w:val="E8E2D9"/>
                <w:sz w:val="17"/>
                <w:szCs w:val="17"/>
              </w:rPr>
              <w:t xml:space="preserve">Clients must be classified (retail, professional, institutional)</w:t>
            </w:r>
          </w:p>
        </w:tc>
        <w:tc>
          <w:tcPr>
            <w:tcW w:type="dxa" w:w="28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color w:val="E8E2D9"/>
                <w:sz w:val="17"/>
                <w:szCs w:val="17"/>
              </w:rPr>
              <w:t xml:space="preserve">Client classification is conducted by the licensed IAM. Vektor stores customer_type (individual, institutional, family_office). The IAM’s FinSA client classification maps to this field but the classification decision is the IAM’s responsibility.</w:t>
            </w:r>
          </w:p>
        </w:tc>
        <w:tc>
          <w:tcPr>
            <w:tcW w:type="dxa" w:w="18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color w:val="E8E2D9"/>
                <w:sz w:val="17"/>
                <w:szCs w:val="17"/>
              </w:rPr>
              <w:t xml:space="preserve">Data model: customer_master.customer_type</w:t>
            </w:r>
          </w:p>
        </w:tc>
        <w:tc>
          <w:tcPr>
            <w:tcW w:type="dxa" w:w="1200"/>
            <w:tcBorders>
              <w:top w:val="single" w:color="2A2A35" w:sz="1"/>
              <w:left w:val="single" w:color="2A2A35" w:sz="1"/>
              <w:bottom w:val="single" w:color="2A2A35" w:sz="1"/>
              <w:right w:val="single" w:color="2A2A35" w:sz="1"/>
            </w:tcBorders>
            <w:shd w:fill="F5F5F5" w:val="clear"/>
            <w:tcMar>
              <w:top w:type="dxa" w:w="60"/>
              <w:left w:type="dxa" w:w="100"/>
              <w:bottom w:type="dxa" w:w="60"/>
              <w:right w:type="dxa" w:w="100"/>
            </w:tcMar>
          </w:tcPr>
          <w:p>
            <w:r>
              <w:rPr>
                <w:rFonts w:ascii="Arial" w:cs="Arial" w:eastAsia="Arial" w:hAnsi="Arial"/>
                <w:b/>
                <w:bCs/>
                <w:color w:val="777777"/>
                <w:sz w:val="17"/>
                <w:szCs w:val="17"/>
              </w:rPr>
              <w:t xml:space="preserve">N/A</w:t>
            </w:r>
          </w:p>
        </w:tc>
      </w:tr>
    </w:tbl>
    <w:p>
      <w:pPr>
        <w:spacing w:after="0" w:before="120"/>
      </w:pPr>
    </w:p>
    <w:p>
      <w:pPr>
        <w:pStyle w:val="Heading1"/>
        <w:pBdr>
          <w:bottom w:val="single" w:color="C8A96E" w:sz="3" w:space="4"/>
        </w:pBdr>
        <w:spacing w:after="80" w:before="360"/>
      </w:pPr>
      <w:r>
        <w:rPr>
          <w:rFonts w:ascii="Arial" w:cs="Arial" w:eastAsia="Arial" w:hAnsi="Arial"/>
          <w:b/>
          <w:bCs/>
          <w:caps/>
          <w:color w:val="C8A96E"/>
          <w:sz w:val="24"/>
          <w:szCs w:val="24"/>
        </w:rPr>
        <w:t xml:space="preserve">FINMA Operational Risk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1800"/>
        <w:gridCol w:w="1200"/>
      </w:tblGrid>
      <w:tr>
        <w:trPr>
          <w:tblHeader/>
        </w:trPr>
        <w:tc>
          <w:tcPr>
            <w:tcW w:type="dxa" w:w="1600"/>
            <w:tcBorders>
              <w:top w:val="single" w:color="2A2A35" w:sz="1"/>
              <w:left w:val="single" w:color="2A2A35" w:sz="1"/>
              <w:bottom w:val="single" w:color="2A2A35" w:sz="1"/>
              <w:right w:val="single" w:color="2A2A35" w:sz="1"/>
            </w:tcBorders>
            <w:shd w:fill="C8A96E" w:val="clear"/>
            <w:tcMar>
              <w:top w:type="dxa" w:w="70"/>
              <w:left w:type="dxa" w:w="100"/>
              <w:bottom w:type="dxa" w:w="70"/>
              <w:right w:type="dxa" w:w="100"/>
            </w:tcMar>
          </w:tcPr>
          <w:p>
            <w:r>
              <w:rPr>
                <w:rFonts w:ascii="Arial" w:cs="Arial" w:eastAsia="Arial" w:hAnsi="Arial"/>
                <w:b/>
                <w:bCs/>
                <w:color w:val="0A0A0F"/>
                <w:sz w:val="17"/>
                <w:szCs w:val="17"/>
              </w:rPr>
              <w:t xml:space="preserve">Requirement</w:t>
            </w:r>
          </w:p>
        </w:tc>
        <w:tc>
          <w:tcPr>
            <w:tcW w:type="dxa" w:w="2200"/>
            <w:tcBorders>
              <w:top w:val="single" w:color="2A2A35" w:sz="1"/>
              <w:left w:val="single" w:color="2A2A35" w:sz="1"/>
              <w:bottom w:val="single" w:color="2A2A35" w:sz="1"/>
              <w:right w:val="single" w:color="2A2A35" w:sz="1"/>
            </w:tcBorders>
            <w:shd w:fill="C8A96E" w:val="clear"/>
            <w:tcMar>
              <w:top w:type="dxa" w:w="70"/>
              <w:left w:type="dxa" w:w="100"/>
              <w:bottom w:type="dxa" w:w="70"/>
              <w:right w:type="dxa" w:w="100"/>
            </w:tcMar>
          </w:tcPr>
          <w:p>
            <w:r>
              <w:rPr>
                <w:rFonts w:ascii="Arial" w:cs="Arial" w:eastAsia="Arial" w:hAnsi="Arial"/>
                <w:b/>
                <w:bCs/>
                <w:color w:val="0A0A0F"/>
                <w:sz w:val="17"/>
                <w:szCs w:val="17"/>
              </w:rPr>
              <w:t xml:space="preserve">Description</w:t>
            </w:r>
          </w:p>
        </w:tc>
        <w:tc>
          <w:tcPr>
            <w:tcW w:type="dxa" w:w="2800"/>
            <w:tcBorders>
              <w:top w:val="single" w:color="2A2A35" w:sz="1"/>
              <w:left w:val="single" w:color="2A2A35" w:sz="1"/>
              <w:bottom w:val="single" w:color="2A2A35" w:sz="1"/>
              <w:right w:val="single" w:color="2A2A35" w:sz="1"/>
            </w:tcBorders>
            <w:shd w:fill="C8A96E" w:val="clear"/>
            <w:tcMar>
              <w:top w:type="dxa" w:w="70"/>
              <w:left w:type="dxa" w:w="100"/>
              <w:bottom w:type="dxa" w:w="70"/>
              <w:right w:type="dxa" w:w="100"/>
            </w:tcMar>
          </w:tcPr>
          <w:p>
            <w:r>
              <w:rPr>
                <w:rFonts w:ascii="Arial" w:cs="Arial" w:eastAsia="Arial" w:hAnsi="Arial"/>
                <w:b/>
                <w:bCs/>
                <w:color w:val="0A0A0F"/>
                <w:sz w:val="17"/>
                <w:szCs w:val="17"/>
              </w:rPr>
              <w:t xml:space="preserve">InvestPuppy Position</w:t>
            </w:r>
          </w:p>
        </w:tc>
        <w:tc>
          <w:tcPr>
            <w:tcW w:type="dxa" w:w="1800"/>
            <w:tcBorders>
              <w:top w:val="single" w:color="2A2A35" w:sz="1"/>
              <w:left w:val="single" w:color="2A2A35" w:sz="1"/>
              <w:bottom w:val="single" w:color="2A2A35" w:sz="1"/>
              <w:right w:val="single" w:color="2A2A35" w:sz="1"/>
            </w:tcBorders>
            <w:shd w:fill="C8A96E" w:val="clear"/>
            <w:tcMar>
              <w:top w:type="dxa" w:w="70"/>
              <w:left w:type="dxa" w:w="100"/>
              <w:bottom w:type="dxa" w:w="70"/>
              <w:right w:type="dxa" w:w="100"/>
            </w:tcMar>
          </w:tcPr>
          <w:p>
            <w:r>
              <w:rPr>
                <w:rFonts w:ascii="Arial" w:cs="Arial" w:eastAsia="Arial" w:hAnsi="Arial"/>
                <w:b/>
                <w:bCs/>
                <w:color w:val="0A0A0F"/>
                <w:sz w:val="17"/>
                <w:szCs w:val="17"/>
              </w:rPr>
              <w:t xml:space="preserve">Evidence</w:t>
            </w:r>
          </w:p>
        </w:tc>
        <w:tc>
          <w:tcPr>
            <w:tcW w:type="dxa" w:w="1200"/>
            <w:tcBorders>
              <w:top w:val="single" w:color="2A2A35" w:sz="1"/>
              <w:left w:val="single" w:color="2A2A35" w:sz="1"/>
              <w:bottom w:val="single" w:color="2A2A35" w:sz="1"/>
              <w:right w:val="single" w:color="2A2A35" w:sz="1"/>
            </w:tcBorders>
            <w:shd w:fill="C8A96E" w:val="clear"/>
            <w:tcMar>
              <w:top w:type="dxa" w:w="70"/>
              <w:left w:type="dxa" w:w="100"/>
              <w:bottom w:type="dxa" w:w="70"/>
              <w:right w:type="dxa" w:w="100"/>
            </w:tcMar>
          </w:tcPr>
          <w:p>
            <w:r>
              <w:rPr>
                <w:rFonts w:ascii="Arial" w:cs="Arial" w:eastAsia="Arial" w:hAnsi="Arial"/>
                <w:b/>
                <w:bCs/>
                <w:color w:val="0A0A0F"/>
                <w:sz w:val="17"/>
                <w:szCs w:val="17"/>
              </w:rPr>
              <w:t xml:space="preserve">Status</w:t>
            </w:r>
          </w:p>
        </w:tc>
      </w:tr>
      <w:tr>
        <w:tc>
          <w:tcPr>
            <w:tcW w:type="dxa" w:w="16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b/>
                <w:bCs/>
                <w:color w:val="E8E8EC"/>
                <w:sz w:val="17"/>
                <w:szCs w:val="17"/>
              </w:rPr>
              <w:t xml:space="preserve">FINMA Circ. 2023/1 — Operational risks</w:t>
            </w:r>
          </w:p>
        </w:tc>
        <w:tc>
          <w:tcPr>
            <w:tcW w:type="dxa" w:w="22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color w:val="E8E2D9"/>
                <w:sz w:val="17"/>
                <w:szCs w:val="17"/>
              </w:rPr>
              <w:t xml:space="preserve">Supervised entities must have adequate controls for operational risks including technology risks</w:t>
            </w:r>
          </w:p>
        </w:tc>
        <w:tc>
          <w:tcPr>
            <w:tcW w:type="dxa" w:w="28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color w:val="E8E2D9"/>
                <w:sz w:val="17"/>
                <w:szCs w:val="17"/>
              </w:rPr>
              <w:t xml:space="preserve">Vektor is deployed on AWS (eu-west for European deployments). Availability SLA documented. Incident response procedure available. Business continuity plan in preparation. SOC 2 Type II on roadmap.</w:t>
            </w:r>
          </w:p>
        </w:tc>
        <w:tc>
          <w:tcPr>
            <w:tcW w:type="dxa" w:w="18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color w:val="E8E2D9"/>
                <w:sz w:val="17"/>
                <w:szCs w:val="17"/>
              </w:rPr>
              <w:t xml:space="preserve">Infrastructure documentation; SLA terms; incident response procedure</w:t>
            </w:r>
          </w:p>
        </w:tc>
        <w:tc>
          <w:tcPr>
            <w:tcW w:type="dxa" w:w="1200"/>
            <w:tcBorders>
              <w:top w:val="single" w:color="2A2A35" w:sz="1"/>
              <w:left w:val="single" w:color="2A2A35" w:sz="1"/>
              <w:bottom w:val="single" w:color="2A2A35" w:sz="1"/>
              <w:right w:val="single" w:color="2A2A35" w:sz="1"/>
            </w:tcBorders>
            <w:shd w:fill="FFF3E0" w:val="clear"/>
            <w:tcMar>
              <w:top w:type="dxa" w:w="60"/>
              <w:left w:type="dxa" w:w="100"/>
              <w:bottom w:type="dxa" w:w="60"/>
              <w:right w:type="dxa" w:w="100"/>
            </w:tcMar>
          </w:tcPr>
          <w:p>
            <w:r>
              <w:rPr>
                <w:rFonts w:ascii="Arial" w:cs="Arial" w:eastAsia="Arial" w:hAnsi="Arial"/>
                <w:b/>
                <w:bCs/>
                <w:color w:val="E65100"/>
                <w:sz w:val="17"/>
                <w:szCs w:val="17"/>
              </w:rPr>
              <w:t xml:space="preserve">PARTIAL</w:t>
            </w:r>
          </w:p>
        </w:tc>
      </w:tr>
      <w:tr>
        <w:tc>
          <w:tcPr>
            <w:tcW w:type="dxa" w:w="1600"/>
            <w:tcBorders>
              <w:top w:val="single" w:color="2A2A35" w:sz="1"/>
              <w:left w:val="single" w:color="2A2A35" w:sz="1"/>
              <w:bottom w:val="single" w:color="2A2A35" w:sz="1"/>
              <w:right w:val="single" w:color="2A2A35" w:sz="1"/>
            </w:tcBorders>
            <w:shd w:fill="0A0A0F" w:val="clear"/>
            <w:tcMar>
              <w:top w:type="dxa" w:w="60"/>
              <w:left w:type="dxa" w:w="100"/>
              <w:bottom w:type="dxa" w:w="60"/>
              <w:right w:type="dxa" w:w="100"/>
            </w:tcMar>
          </w:tcPr>
          <w:p>
            <w:r>
              <w:rPr>
                <w:rFonts w:ascii="Arial" w:cs="Arial" w:eastAsia="Arial" w:hAnsi="Arial"/>
                <w:b/>
                <w:bCs/>
                <w:color w:val="E8E8EC"/>
                <w:sz w:val="17"/>
                <w:szCs w:val="17"/>
              </w:rPr>
              <w:t xml:space="preserve">FINMA — Outsourcing</w:t>
            </w:r>
          </w:p>
        </w:tc>
        <w:tc>
          <w:tcPr>
            <w:tcW w:type="dxa" w:w="2200"/>
            <w:tcBorders>
              <w:top w:val="single" w:color="2A2A35" w:sz="1"/>
              <w:left w:val="single" w:color="2A2A35" w:sz="1"/>
              <w:bottom w:val="single" w:color="2A2A35" w:sz="1"/>
              <w:right w:val="single" w:color="2A2A35" w:sz="1"/>
            </w:tcBorders>
            <w:shd w:fill="0A0A0F" w:val="clear"/>
            <w:tcMar>
              <w:top w:type="dxa" w:w="60"/>
              <w:left w:type="dxa" w:w="100"/>
              <w:bottom w:type="dxa" w:w="60"/>
              <w:right w:type="dxa" w:w="100"/>
            </w:tcMar>
          </w:tcPr>
          <w:p>
            <w:r>
              <w:rPr>
                <w:rFonts w:ascii="Arial" w:cs="Arial" w:eastAsia="Arial" w:hAnsi="Arial"/>
                <w:color w:val="E8E2D9"/>
                <w:sz w:val="17"/>
                <w:szCs w:val="17"/>
              </w:rPr>
              <w:t xml:space="preserve">Supervised entities that outsource activities must maintain oversight and accountability</w:t>
            </w:r>
          </w:p>
        </w:tc>
        <w:tc>
          <w:tcPr>
            <w:tcW w:type="dxa" w:w="2800"/>
            <w:tcBorders>
              <w:top w:val="single" w:color="2A2A35" w:sz="1"/>
              <w:left w:val="single" w:color="2A2A35" w:sz="1"/>
              <w:bottom w:val="single" w:color="2A2A35" w:sz="1"/>
              <w:right w:val="single" w:color="2A2A35" w:sz="1"/>
            </w:tcBorders>
            <w:shd w:fill="0A0A0F" w:val="clear"/>
            <w:tcMar>
              <w:top w:type="dxa" w:w="60"/>
              <w:left w:type="dxa" w:w="100"/>
              <w:bottom w:type="dxa" w:w="60"/>
              <w:right w:type="dxa" w:w="100"/>
            </w:tcMar>
          </w:tcPr>
          <w:p>
            <w:r>
              <w:rPr>
                <w:rFonts w:ascii="Arial" w:cs="Arial" w:eastAsia="Arial" w:hAnsi="Arial"/>
                <w:color w:val="E8E2D9"/>
                <w:sz w:val="17"/>
                <w:szCs w:val="17"/>
              </w:rPr>
              <w:t xml:space="preserve">Vektor is a tool, not an outsourced investment management function. The IAM retains investment decision authority. No FINMA outsourcing regulation applies to the use of a systematic analytical platform.</w:t>
            </w:r>
          </w:p>
        </w:tc>
        <w:tc>
          <w:tcPr>
            <w:tcW w:type="dxa" w:w="1800"/>
            <w:tcBorders>
              <w:top w:val="single" w:color="2A2A35" w:sz="1"/>
              <w:left w:val="single" w:color="2A2A35" w:sz="1"/>
              <w:bottom w:val="single" w:color="2A2A35" w:sz="1"/>
              <w:right w:val="single" w:color="2A2A35" w:sz="1"/>
            </w:tcBorders>
            <w:shd w:fill="0A0A0F" w:val="clear"/>
            <w:tcMar>
              <w:top w:type="dxa" w:w="60"/>
              <w:left w:type="dxa" w:w="100"/>
              <w:bottom w:type="dxa" w:w="60"/>
              <w:right w:type="dxa" w:w="100"/>
            </w:tcMar>
          </w:tcPr>
          <w:p>
            <w:r>
              <w:rPr>
                <w:rFonts w:ascii="Arial" w:cs="Arial" w:eastAsia="Arial" w:hAnsi="Arial"/>
                <w:color w:val="E8E2D9"/>
                <w:sz w:val="17"/>
                <w:szCs w:val="17"/>
              </w:rPr>
              <w:t xml:space="preserve">What Vektor Is Not; FinIA position statement</w:t>
            </w:r>
          </w:p>
        </w:tc>
        <w:tc>
          <w:tcPr>
            <w:tcW w:type="dxa" w:w="1200"/>
            <w:tcBorders>
              <w:top w:val="single" w:color="2A2A35" w:sz="1"/>
              <w:left w:val="single" w:color="2A2A35" w:sz="1"/>
              <w:bottom w:val="single" w:color="2A2A35" w:sz="1"/>
              <w:right w:val="single" w:color="2A2A35"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MET</w:t>
            </w:r>
          </w:p>
        </w:tc>
      </w:tr>
      <w:tr>
        <w:tc>
          <w:tcPr>
            <w:tcW w:type="dxa" w:w="16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b/>
                <w:bCs/>
                <w:color w:val="E8E8EC"/>
                <w:sz w:val="17"/>
                <w:szCs w:val="17"/>
              </w:rPr>
              <w:t xml:space="preserve">FINMA — Data management</w:t>
            </w:r>
          </w:p>
        </w:tc>
        <w:tc>
          <w:tcPr>
            <w:tcW w:type="dxa" w:w="22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color w:val="E8E2D9"/>
                <w:sz w:val="17"/>
                <w:szCs w:val="17"/>
              </w:rPr>
              <w:t xml:space="preserve">Client data must be managed securely with appropriate controls</w:t>
            </w:r>
          </w:p>
        </w:tc>
        <w:tc>
          <w:tcPr>
            <w:tcW w:type="dxa" w:w="28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color w:val="E8E2D9"/>
                <w:sz w:val="17"/>
                <w:szCs w:val="17"/>
              </w:rPr>
              <w:t xml:space="preserve">Client portfolio data is isolated per IAM client. EU data residency for Swiss deployments (eu-west). Data governance terms agreed at contract stage. Data processing agreement produced before go-live.</w:t>
            </w:r>
          </w:p>
        </w:tc>
        <w:tc>
          <w:tcPr>
            <w:tcW w:type="dxa" w:w="18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color w:val="E8E2D9"/>
                <w:sz w:val="17"/>
                <w:szCs w:val="17"/>
              </w:rPr>
              <w:t xml:space="preserve">Data governance position (this document); DPA template (pending)</w:t>
            </w:r>
          </w:p>
        </w:tc>
        <w:tc>
          <w:tcPr>
            <w:tcW w:type="dxa" w:w="1200"/>
            <w:tcBorders>
              <w:top w:val="single" w:color="2A2A35" w:sz="1"/>
              <w:left w:val="single" w:color="2A2A35" w:sz="1"/>
              <w:bottom w:val="single" w:color="2A2A35" w:sz="1"/>
              <w:right w:val="single" w:color="2A2A35" w:sz="1"/>
            </w:tcBorders>
            <w:shd w:fill="FFF3E0" w:val="clear"/>
            <w:tcMar>
              <w:top w:type="dxa" w:w="60"/>
              <w:left w:type="dxa" w:w="100"/>
              <w:bottom w:type="dxa" w:w="60"/>
              <w:right w:type="dxa" w:w="100"/>
            </w:tcMar>
          </w:tcPr>
          <w:p>
            <w:r>
              <w:rPr>
                <w:rFonts w:ascii="Arial" w:cs="Arial" w:eastAsia="Arial" w:hAnsi="Arial"/>
                <w:b/>
                <w:bCs/>
                <w:color w:val="E65100"/>
                <w:sz w:val="17"/>
                <w:szCs w:val="17"/>
              </w:rPr>
              <w:t xml:space="preserve">PARTIAL</w:t>
            </w:r>
          </w:p>
        </w:tc>
      </w:tr>
    </w:tbl>
    <w:p>
      <w:pPr>
        <w:spacing w:after="0" w:before="120"/>
      </w:pPr>
    </w:p>
    <w:p>
      <w:pPr>
        <w:pStyle w:val="Heading1"/>
        <w:pBdr>
          <w:bottom w:val="single" w:color="C8A96E" w:sz="3" w:space="4"/>
        </w:pBdr>
        <w:spacing w:after="80" w:before="360"/>
      </w:pPr>
      <w:r>
        <w:rPr>
          <w:rFonts w:ascii="Arial" w:cs="Arial" w:eastAsia="Arial" w:hAnsi="Arial"/>
          <w:b/>
          <w:bCs/>
          <w:caps/>
          <w:color w:val="C8A96E"/>
          <w:sz w:val="24"/>
          <w:szCs w:val="24"/>
        </w:rPr>
        <w:t xml:space="preserve">Swiss-Specific Implementation Notes</w:t>
      </w:r>
    </w:p>
    <w:p>
      <w:pPr>
        <w:pStyle w:val="ListParagraph"/>
        <w:numPr>
          <w:ilvl w:val="0"/>
          <w:numId w:val="2"/>
        </w:numPr>
        <w:spacing w:after="55" w:before="55" w:line="295" w:lineRule="auto"/>
      </w:pPr>
      <w:r>
        <w:rPr>
          <w:rFonts w:ascii="Arial" w:cs="Arial" w:eastAsia="Arial" w:hAnsi="Arial"/>
          <w:b/>
          <w:bCs/>
          <w:i w:val="false"/>
          <w:iCs w:val="false"/>
          <w:color w:val="E8E8EC"/>
          <w:sz w:val="20"/>
          <w:szCs w:val="20"/>
        </w:rPr>
        <w:t xml:space="preserve">Supervisory organisation (AO) review.</w:t>
      </w:r>
      <w:r>
        <w:rPr>
          <w:rFonts w:ascii="Arial" w:cs="Arial" w:eastAsia="Arial" w:hAnsi="Arial"/>
          <w:b w:val="false"/>
          <w:bCs w:val="false"/>
          <w:i w:val="false"/>
          <w:iCs w:val="false"/>
          <w:color w:val="E8E2D9"/>
          <w:sz w:val="20"/>
          <w:szCs w:val="20"/>
        </w:rPr>
        <w:t xml:space="preserve"> A Swiss IAM’s AO may request documentation of the platform as part of its supervision. InvestPuppy will cooperate with AO reviews and provide the platform documentation, audit trail evidence, and this compliance matrix as supporting materials.</w:t>
      </w:r>
    </w:p>
    <w:p>
      <w:pPr>
        <w:pStyle w:val="ListParagraph"/>
        <w:numPr>
          <w:ilvl w:val="0"/>
          <w:numId w:val="2"/>
        </w:numPr>
        <w:spacing w:after="55" w:before="55" w:line="295" w:lineRule="auto"/>
      </w:pPr>
      <w:r>
        <w:rPr>
          <w:rFonts w:ascii="Arial" w:cs="Arial" w:eastAsia="Arial" w:hAnsi="Arial"/>
          <w:b/>
          <w:bCs/>
          <w:i w:val="false"/>
          <w:iCs w:val="false"/>
          <w:color w:val="E8E8EC"/>
          <w:sz w:val="20"/>
          <w:szCs w:val="20"/>
        </w:rPr>
        <w:t xml:space="preserve">Walk-forward validation.</w:t>
      </w:r>
      <w:r>
        <w:rPr>
          <w:rFonts w:ascii="Arial" w:cs="Arial" w:eastAsia="Arial" w:hAnsi="Arial"/>
          <w:b w:val="false"/>
          <w:bCs w:val="false"/>
          <w:i w:val="false"/>
          <w:iCs w:val="false"/>
          <w:color w:val="E8E2D9"/>
          <w:sz w:val="20"/>
          <w:szCs w:val="20"/>
        </w:rPr>
        <w:t xml:space="preserve"> FINMA and AOs increasingly expect that systematic methodologies used in investment management have been tested on out-of-sample data. Walk-forward strategy validation is on the InvestPuppy roadmap as a priority item. It is not yet available.</w:t>
      </w:r>
    </w:p>
    <w:p>
      <w:pPr>
        <w:pStyle w:val="ListParagraph"/>
        <w:numPr>
          <w:ilvl w:val="0"/>
          <w:numId w:val="2"/>
        </w:numPr>
        <w:spacing w:after="55" w:before="55" w:line="295" w:lineRule="auto"/>
      </w:pPr>
      <w:r>
        <w:rPr>
          <w:rFonts w:ascii="Arial" w:cs="Arial" w:eastAsia="Arial" w:hAnsi="Arial"/>
          <w:b/>
          <w:bCs/>
          <w:i w:val="false"/>
          <w:iCs w:val="false"/>
          <w:color w:val="E8E8EC"/>
          <w:sz w:val="20"/>
          <w:szCs w:val="20"/>
        </w:rPr>
        <w:t xml:space="preserve">German/French documentation.</w:t>
      </w:r>
      <w:r>
        <w:rPr>
          <w:rFonts w:ascii="Arial" w:cs="Arial" w:eastAsia="Arial" w:hAnsi="Arial"/>
          <w:b w:val="false"/>
          <w:bCs w:val="false"/>
          <w:i w:val="false"/>
          <w:iCs w:val="false"/>
          <w:color w:val="E8E2D9"/>
          <w:sz w:val="20"/>
          <w:szCs w:val="20"/>
        </w:rPr>
        <w:t xml:space="preserve"> The current compliance matrix and platform documentation are in English. Swiss AOs and institutional clients may require German or French versions. Translation capability is confirmed at the contract stage for Swiss deployments.</w:t>
      </w:r>
    </w:p>
    <w:p>
      <w:pPr>
        <w:spacing w:after="0" w:before="120"/>
      </w:pPr>
    </w:p>
    <w:p>
      <w:pPr>
        <w:pStyle w:val="Heading1"/>
        <w:pBdr>
          <w:bottom w:val="single" w:color="C8A96E" w:sz="3" w:space="4"/>
        </w:pBdr>
        <w:spacing w:after="80" w:before="360"/>
      </w:pPr>
      <w:r>
        <w:rPr>
          <w:rFonts w:ascii="Arial" w:cs="Arial" w:eastAsia="Arial" w:hAnsi="Arial"/>
          <w:b/>
          <w:bCs/>
          <w:caps/>
          <w:color w:val="C8A96E"/>
          <w:sz w:val="24"/>
          <w:szCs w:val="24"/>
        </w:rPr>
        <w:t xml:space="preserve">nDSG — Swiss Data Protection Act</w:t>
      </w:r>
    </w:p>
    <w:p>
      <w:pPr>
        <w:spacing w:after="50" w:before="50" w:line="315" w:lineRule="auto"/>
      </w:pPr>
      <w:r>
        <w:rPr>
          <w:rFonts w:ascii="Arial" w:cs="Arial" w:eastAsia="Arial" w:hAnsi="Arial"/>
          <w:b w:val="false"/>
          <w:bCs w:val="false"/>
          <w:i w:val="false"/>
          <w:iCs w:val="false"/>
          <w:color w:val="E8E2D9"/>
          <w:sz w:val="20"/>
          <w:szCs w:val="20"/>
        </w:rPr>
        <w:t xml:space="preserve">Switzerland’s revised Federal Act on Data Protection (nDSG, effective September 2023) aligns with GDPR principles and applies to any processing of personal data of Swiss residents. Institutional partners and their AOs will expect nDSG compliance from technology providers handling client data.</w:t>
      </w:r>
    </w:p>
    <w:p>
      <w:pPr>
        <w:spacing w:after="0" w:before="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1800"/>
        <w:gridCol w:w="1200"/>
      </w:tblGrid>
      <w:tr>
        <w:trPr>
          <w:tblHeader/>
        </w:trPr>
        <w:tc>
          <w:tcPr>
            <w:tcW w:type="dxa" w:w="1600"/>
            <w:tcBorders>
              <w:top w:val="single" w:color="2A2A35" w:sz="1"/>
              <w:left w:val="single" w:color="2A2A35" w:sz="1"/>
              <w:bottom w:val="single" w:color="2A2A35" w:sz="1"/>
              <w:right w:val="single" w:color="2A2A35" w:sz="1"/>
            </w:tcBorders>
            <w:shd w:fill="C8A96E" w:val="clear"/>
            <w:tcMar>
              <w:top w:type="dxa" w:w="70"/>
              <w:left w:type="dxa" w:w="100"/>
              <w:bottom w:type="dxa" w:w="70"/>
              <w:right w:type="dxa" w:w="100"/>
            </w:tcMar>
          </w:tcPr>
          <w:p>
            <w:r>
              <w:rPr>
                <w:rFonts w:ascii="Arial" w:cs="Arial" w:eastAsia="Arial" w:hAnsi="Arial"/>
                <w:b/>
                <w:bCs/>
                <w:color w:val="0A0A0F"/>
                <w:sz w:val="17"/>
                <w:szCs w:val="17"/>
              </w:rPr>
              <w:t xml:space="preserve">Requirement</w:t>
            </w:r>
          </w:p>
        </w:tc>
        <w:tc>
          <w:tcPr>
            <w:tcW w:type="dxa" w:w="2200"/>
            <w:tcBorders>
              <w:top w:val="single" w:color="2A2A35" w:sz="1"/>
              <w:left w:val="single" w:color="2A2A35" w:sz="1"/>
              <w:bottom w:val="single" w:color="2A2A35" w:sz="1"/>
              <w:right w:val="single" w:color="2A2A35" w:sz="1"/>
            </w:tcBorders>
            <w:shd w:fill="C8A96E" w:val="clear"/>
            <w:tcMar>
              <w:top w:type="dxa" w:w="70"/>
              <w:left w:type="dxa" w:w="100"/>
              <w:bottom w:type="dxa" w:w="70"/>
              <w:right w:type="dxa" w:w="100"/>
            </w:tcMar>
          </w:tcPr>
          <w:p>
            <w:r>
              <w:rPr>
                <w:rFonts w:ascii="Arial" w:cs="Arial" w:eastAsia="Arial" w:hAnsi="Arial"/>
                <w:b/>
                <w:bCs/>
                <w:color w:val="0A0A0F"/>
                <w:sz w:val="17"/>
                <w:szCs w:val="17"/>
              </w:rPr>
              <w:t xml:space="preserve">Description</w:t>
            </w:r>
          </w:p>
        </w:tc>
        <w:tc>
          <w:tcPr>
            <w:tcW w:type="dxa" w:w="2800"/>
            <w:tcBorders>
              <w:top w:val="single" w:color="2A2A35" w:sz="1"/>
              <w:left w:val="single" w:color="2A2A35" w:sz="1"/>
              <w:bottom w:val="single" w:color="2A2A35" w:sz="1"/>
              <w:right w:val="single" w:color="2A2A35" w:sz="1"/>
            </w:tcBorders>
            <w:shd w:fill="C8A96E" w:val="clear"/>
            <w:tcMar>
              <w:top w:type="dxa" w:w="70"/>
              <w:left w:type="dxa" w:w="100"/>
              <w:bottom w:type="dxa" w:w="70"/>
              <w:right w:type="dxa" w:w="100"/>
            </w:tcMar>
          </w:tcPr>
          <w:p>
            <w:r>
              <w:rPr>
                <w:rFonts w:ascii="Arial" w:cs="Arial" w:eastAsia="Arial" w:hAnsi="Arial"/>
                <w:b/>
                <w:bCs/>
                <w:color w:val="0A0A0F"/>
                <w:sz w:val="17"/>
                <w:szCs w:val="17"/>
              </w:rPr>
              <w:t xml:space="preserve">InvestPuppy Position</w:t>
            </w:r>
          </w:p>
        </w:tc>
        <w:tc>
          <w:tcPr>
            <w:tcW w:type="dxa" w:w="1800"/>
            <w:tcBorders>
              <w:top w:val="single" w:color="2A2A35" w:sz="1"/>
              <w:left w:val="single" w:color="2A2A35" w:sz="1"/>
              <w:bottom w:val="single" w:color="2A2A35" w:sz="1"/>
              <w:right w:val="single" w:color="2A2A35" w:sz="1"/>
            </w:tcBorders>
            <w:shd w:fill="C8A96E" w:val="clear"/>
            <w:tcMar>
              <w:top w:type="dxa" w:w="70"/>
              <w:left w:type="dxa" w:w="100"/>
              <w:bottom w:type="dxa" w:w="70"/>
              <w:right w:type="dxa" w:w="100"/>
            </w:tcMar>
          </w:tcPr>
          <w:p>
            <w:r>
              <w:rPr>
                <w:rFonts w:ascii="Arial" w:cs="Arial" w:eastAsia="Arial" w:hAnsi="Arial"/>
                <w:b/>
                <w:bCs/>
                <w:color w:val="0A0A0F"/>
                <w:sz w:val="17"/>
                <w:szCs w:val="17"/>
              </w:rPr>
              <w:t xml:space="preserve">Evidence</w:t>
            </w:r>
          </w:p>
        </w:tc>
        <w:tc>
          <w:tcPr>
            <w:tcW w:type="dxa" w:w="1200"/>
            <w:tcBorders>
              <w:top w:val="single" w:color="2A2A35" w:sz="1"/>
              <w:left w:val="single" w:color="2A2A35" w:sz="1"/>
              <w:bottom w:val="single" w:color="2A2A35" w:sz="1"/>
              <w:right w:val="single" w:color="2A2A35" w:sz="1"/>
            </w:tcBorders>
            <w:shd w:fill="C8A96E" w:val="clear"/>
            <w:tcMar>
              <w:top w:type="dxa" w:w="70"/>
              <w:left w:type="dxa" w:w="100"/>
              <w:bottom w:type="dxa" w:w="70"/>
              <w:right w:type="dxa" w:w="100"/>
            </w:tcMar>
          </w:tcPr>
          <w:p>
            <w:r>
              <w:rPr>
                <w:rFonts w:ascii="Arial" w:cs="Arial" w:eastAsia="Arial" w:hAnsi="Arial"/>
                <w:b/>
                <w:bCs/>
                <w:color w:val="0A0A0F"/>
                <w:sz w:val="17"/>
                <w:szCs w:val="17"/>
              </w:rPr>
              <w:t xml:space="preserve">Status</w:t>
            </w:r>
          </w:p>
        </w:tc>
      </w:tr>
      <w:tr>
        <w:tc>
          <w:tcPr>
            <w:tcW w:type="dxa" w:w="16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b/>
                <w:bCs/>
                <w:color w:val="E8E8EC"/>
                <w:sz w:val="17"/>
                <w:szCs w:val="17"/>
              </w:rPr>
              <w:t xml:space="preserve">nDSG Art.6 — Data processing principles</w:t>
            </w:r>
          </w:p>
        </w:tc>
        <w:tc>
          <w:tcPr>
            <w:tcW w:type="dxa" w:w="22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color w:val="E8E2D9"/>
                <w:sz w:val="17"/>
                <w:szCs w:val="17"/>
              </w:rPr>
              <w:t xml:space="preserve">Personal data processed lawfully, in good faith, proportionately, and for specified purposes</w:t>
            </w:r>
          </w:p>
        </w:tc>
        <w:tc>
          <w:tcPr>
            <w:tcW w:type="dxa" w:w="28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color w:val="E8E2D9"/>
                <w:sz w:val="17"/>
                <w:szCs w:val="17"/>
              </w:rPr>
              <w:t xml:space="preserve">Client portfolio data processed solely for portfolio management purposes as defined in the data processing agreement. InvestPuppy acts as data processor on behalf of the licensed IAM (controller). Processing purposes defined and limited in the DPA.</w:t>
            </w:r>
          </w:p>
        </w:tc>
        <w:tc>
          <w:tcPr>
            <w:tcW w:type="dxa" w:w="18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color w:val="E8E2D9"/>
                <w:sz w:val="17"/>
                <w:szCs w:val="17"/>
              </w:rPr>
              <w:t xml:space="preserve">Data processing agreement template (pending); data governance position</w:t>
            </w:r>
          </w:p>
        </w:tc>
        <w:tc>
          <w:tcPr>
            <w:tcW w:type="dxa" w:w="1200"/>
            <w:tcBorders>
              <w:top w:val="single" w:color="2A2A35" w:sz="1"/>
              <w:left w:val="single" w:color="2A2A35" w:sz="1"/>
              <w:bottom w:val="single" w:color="2A2A35" w:sz="1"/>
              <w:right w:val="single" w:color="2A2A35" w:sz="1"/>
            </w:tcBorders>
            <w:shd w:fill="FFF3E0" w:val="clear"/>
            <w:tcMar>
              <w:top w:type="dxa" w:w="60"/>
              <w:left w:type="dxa" w:w="100"/>
              <w:bottom w:type="dxa" w:w="60"/>
              <w:right w:type="dxa" w:w="100"/>
            </w:tcMar>
          </w:tcPr>
          <w:p>
            <w:r>
              <w:rPr>
                <w:rFonts w:ascii="Arial" w:cs="Arial" w:eastAsia="Arial" w:hAnsi="Arial"/>
                <w:b/>
                <w:bCs/>
                <w:color w:val="E65100"/>
                <w:sz w:val="17"/>
                <w:szCs w:val="17"/>
              </w:rPr>
              <w:t xml:space="preserve">PARTIAL</w:t>
            </w:r>
          </w:p>
        </w:tc>
      </w:tr>
      <w:tr>
        <w:tc>
          <w:tcPr>
            <w:tcW w:type="dxa" w:w="1600"/>
            <w:tcBorders>
              <w:top w:val="single" w:color="2A2A35" w:sz="1"/>
              <w:left w:val="single" w:color="2A2A35" w:sz="1"/>
              <w:bottom w:val="single" w:color="2A2A35" w:sz="1"/>
              <w:right w:val="single" w:color="2A2A35" w:sz="1"/>
            </w:tcBorders>
            <w:shd w:fill="0A0A0F" w:val="clear"/>
            <w:tcMar>
              <w:top w:type="dxa" w:w="60"/>
              <w:left w:type="dxa" w:w="100"/>
              <w:bottom w:type="dxa" w:w="60"/>
              <w:right w:type="dxa" w:w="100"/>
            </w:tcMar>
          </w:tcPr>
          <w:p>
            <w:r>
              <w:rPr>
                <w:rFonts w:ascii="Arial" w:cs="Arial" w:eastAsia="Arial" w:hAnsi="Arial"/>
                <w:b/>
                <w:bCs/>
                <w:color w:val="E8E8EC"/>
                <w:sz w:val="17"/>
                <w:szCs w:val="17"/>
              </w:rPr>
              <w:t xml:space="preserve">nDSG Art.8 — Data security</w:t>
            </w:r>
          </w:p>
        </w:tc>
        <w:tc>
          <w:tcPr>
            <w:tcW w:type="dxa" w:w="2200"/>
            <w:tcBorders>
              <w:top w:val="single" w:color="2A2A35" w:sz="1"/>
              <w:left w:val="single" w:color="2A2A35" w:sz="1"/>
              <w:bottom w:val="single" w:color="2A2A35" w:sz="1"/>
              <w:right w:val="single" w:color="2A2A35" w:sz="1"/>
            </w:tcBorders>
            <w:shd w:fill="0A0A0F" w:val="clear"/>
            <w:tcMar>
              <w:top w:type="dxa" w:w="60"/>
              <w:left w:type="dxa" w:w="100"/>
              <w:bottom w:type="dxa" w:w="60"/>
              <w:right w:type="dxa" w:w="100"/>
            </w:tcMar>
          </w:tcPr>
          <w:p>
            <w:r>
              <w:rPr>
                <w:rFonts w:ascii="Arial" w:cs="Arial" w:eastAsia="Arial" w:hAnsi="Arial"/>
                <w:color w:val="E8E2D9"/>
                <w:sz w:val="17"/>
                <w:szCs w:val="17"/>
              </w:rPr>
              <w:t xml:space="preserve">Appropriate technical and organisational measures to protect personal data</w:t>
            </w:r>
          </w:p>
        </w:tc>
        <w:tc>
          <w:tcPr>
            <w:tcW w:type="dxa" w:w="2800"/>
            <w:tcBorders>
              <w:top w:val="single" w:color="2A2A35" w:sz="1"/>
              <w:left w:val="single" w:color="2A2A35" w:sz="1"/>
              <w:bottom w:val="single" w:color="2A2A35" w:sz="1"/>
              <w:right w:val="single" w:color="2A2A35" w:sz="1"/>
            </w:tcBorders>
            <w:shd w:fill="0A0A0F" w:val="clear"/>
            <w:tcMar>
              <w:top w:type="dxa" w:w="60"/>
              <w:left w:type="dxa" w:w="100"/>
              <w:bottom w:type="dxa" w:w="60"/>
              <w:right w:type="dxa" w:w="100"/>
            </w:tcMar>
          </w:tcPr>
          <w:p>
            <w:r>
              <w:rPr>
                <w:rFonts w:ascii="Arial" w:cs="Arial" w:eastAsia="Arial" w:hAnsi="Arial"/>
                <w:color w:val="E8E2D9"/>
                <w:sz w:val="17"/>
                <w:szCs w:val="17"/>
              </w:rPr>
              <w:t xml:space="preserve">Data isolated per client. Encryption at rest and in transit. AWS eu-west for Swiss deployments. Access controls documented. SOC 2 Type II on roadmap.</w:t>
            </w:r>
          </w:p>
        </w:tc>
        <w:tc>
          <w:tcPr>
            <w:tcW w:type="dxa" w:w="1800"/>
            <w:tcBorders>
              <w:top w:val="single" w:color="2A2A35" w:sz="1"/>
              <w:left w:val="single" w:color="2A2A35" w:sz="1"/>
              <w:bottom w:val="single" w:color="2A2A35" w:sz="1"/>
              <w:right w:val="single" w:color="2A2A35" w:sz="1"/>
            </w:tcBorders>
            <w:shd w:fill="0A0A0F" w:val="clear"/>
            <w:tcMar>
              <w:top w:type="dxa" w:w="60"/>
              <w:left w:type="dxa" w:w="100"/>
              <w:bottom w:type="dxa" w:w="60"/>
              <w:right w:type="dxa" w:w="100"/>
            </w:tcMar>
          </w:tcPr>
          <w:p>
            <w:r>
              <w:rPr>
                <w:rFonts w:ascii="Arial" w:cs="Arial" w:eastAsia="Arial" w:hAnsi="Arial"/>
                <w:color w:val="E8E2D9"/>
                <w:sz w:val="17"/>
                <w:szCs w:val="17"/>
              </w:rPr>
              <w:t xml:space="preserve">Security posture document (pending); data governance position</w:t>
            </w:r>
          </w:p>
        </w:tc>
        <w:tc>
          <w:tcPr>
            <w:tcW w:type="dxa" w:w="1200"/>
            <w:tcBorders>
              <w:top w:val="single" w:color="2A2A35" w:sz="1"/>
              <w:left w:val="single" w:color="2A2A35" w:sz="1"/>
              <w:bottom w:val="single" w:color="2A2A35" w:sz="1"/>
              <w:right w:val="single" w:color="2A2A35" w:sz="1"/>
            </w:tcBorders>
            <w:shd w:fill="FFF3E0" w:val="clear"/>
            <w:tcMar>
              <w:top w:type="dxa" w:w="60"/>
              <w:left w:type="dxa" w:w="100"/>
              <w:bottom w:type="dxa" w:w="60"/>
              <w:right w:type="dxa" w:w="100"/>
            </w:tcMar>
          </w:tcPr>
          <w:p>
            <w:r>
              <w:rPr>
                <w:rFonts w:ascii="Arial" w:cs="Arial" w:eastAsia="Arial" w:hAnsi="Arial"/>
                <w:b/>
                <w:bCs/>
                <w:color w:val="E65100"/>
                <w:sz w:val="17"/>
                <w:szCs w:val="17"/>
              </w:rPr>
              <w:t xml:space="preserve">PARTIAL</w:t>
            </w:r>
          </w:p>
        </w:tc>
      </w:tr>
      <w:tr>
        <w:tc>
          <w:tcPr>
            <w:tcW w:type="dxa" w:w="16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b/>
                <w:bCs/>
                <w:color w:val="E8E8EC"/>
                <w:sz w:val="17"/>
                <w:szCs w:val="17"/>
              </w:rPr>
              <w:t xml:space="preserve">nDSG Art.16 — Cross-border disclosure</w:t>
            </w:r>
          </w:p>
        </w:tc>
        <w:tc>
          <w:tcPr>
            <w:tcW w:type="dxa" w:w="22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color w:val="E8E2D9"/>
                <w:sz w:val="17"/>
                <w:szCs w:val="17"/>
              </w:rPr>
              <w:t xml:space="preserve">Adequate protection required for data transferred to countries without equivalent data protection</w:t>
            </w:r>
          </w:p>
        </w:tc>
        <w:tc>
          <w:tcPr>
            <w:tcW w:type="dxa" w:w="28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color w:val="E8E2D9"/>
                <w:sz w:val="17"/>
                <w:szCs w:val="17"/>
              </w:rPr>
              <w:t xml:space="preserve">Swiss client data processed in AWS eu-west (EU region). No transfer to countries without adequate protection without contractual safeguards. Standard contractual clauses available.</w:t>
            </w:r>
          </w:p>
        </w:tc>
        <w:tc>
          <w:tcPr>
            <w:tcW w:type="dxa" w:w="18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color w:val="E8E2D9"/>
                <w:sz w:val="17"/>
                <w:szCs w:val="17"/>
              </w:rPr>
              <w:t xml:space="preserve">Data governance position; DPA template (pending)</w:t>
            </w:r>
          </w:p>
        </w:tc>
        <w:tc>
          <w:tcPr>
            <w:tcW w:type="dxa" w:w="1200"/>
            <w:tcBorders>
              <w:top w:val="single" w:color="2A2A35" w:sz="1"/>
              <w:left w:val="single" w:color="2A2A35" w:sz="1"/>
              <w:bottom w:val="single" w:color="2A2A35" w:sz="1"/>
              <w:right w:val="single" w:color="2A2A35" w:sz="1"/>
            </w:tcBorders>
            <w:shd w:fill="FFF3E0" w:val="clear"/>
            <w:tcMar>
              <w:top w:type="dxa" w:w="60"/>
              <w:left w:type="dxa" w:w="100"/>
              <w:bottom w:type="dxa" w:w="60"/>
              <w:right w:type="dxa" w:w="100"/>
            </w:tcMar>
          </w:tcPr>
          <w:p>
            <w:r>
              <w:rPr>
                <w:rFonts w:ascii="Arial" w:cs="Arial" w:eastAsia="Arial" w:hAnsi="Arial"/>
                <w:b/>
                <w:bCs/>
                <w:color w:val="E65100"/>
                <w:sz w:val="17"/>
                <w:szCs w:val="17"/>
              </w:rPr>
              <w:t xml:space="preserve">PARTIAL</w:t>
            </w:r>
          </w:p>
        </w:tc>
      </w:tr>
      <w:tr>
        <w:tc>
          <w:tcPr>
            <w:tcW w:type="dxa" w:w="1600"/>
            <w:tcBorders>
              <w:top w:val="single" w:color="2A2A35" w:sz="1"/>
              <w:left w:val="single" w:color="2A2A35" w:sz="1"/>
              <w:bottom w:val="single" w:color="2A2A35" w:sz="1"/>
              <w:right w:val="single" w:color="2A2A35" w:sz="1"/>
            </w:tcBorders>
            <w:shd w:fill="0A0A0F" w:val="clear"/>
            <w:tcMar>
              <w:top w:type="dxa" w:w="60"/>
              <w:left w:type="dxa" w:w="100"/>
              <w:bottom w:type="dxa" w:w="60"/>
              <w:right w:type="dxa" w:w="100"/>
            </w:tcMar>
          </w:tcPr>
          <w:p>
            <w:r>
              <w:rPr>
                <w:rFonts w:ascii="Arial" w:cs="Arial" w:eastAsia="Arial" w:hAnsi="Arial"/>
                <w:b/>
                <w:bCs/>
                <w:color w:val="E8E8EC"/>
                <w:sz w:val="17"/>
                <w:szCs w:val="17"/>
              </w:rPr>
              <w:t xml:space="preserve">nDSG — Data protection adviser</w:t>
            </w:r>
          </w:p>
        </w:tc>
        <w:tc>
          <w:tcPr>
            <w:tcW w:type="dxa" w:w="2200"/>
            <w:tcBorders>
              <w:top w:val="single" w:color="2A2A35" w:sz="1"/>
              <w:left w:val="single" w:color="2A2A35" w:sz="1"/>
              <w:bottom w:val="single" w:color="2A2A35" w:sz="1"/>
              <w:right w:val="single" w:color="2A2A35" w:sz="1"/>
            </w:tcBorders>
            <w:shd w:fill="0A0A0F" w:val="clear"/>
            <w:tcMar>
              <w:top w:type="dxa" w:w="60"/>
              <w:left w:type="dxa" w:w="100"/>
              <w:bottom w:type="dxa" w:w="60"/>
              <w:right w:type="dxa" w:w="100"/>
            </w:tcMar>
          </w:tcPr>
          <w:p>
            <w:r>
              <w:rPr>
                <w:rFonts w:ascii="Arial" w:cs="Arial" w:eastAsia="Arial" w:hAnsi="Arial"/>
                <w:color w:val="E8E2D9"/>
                <w:sz w:val="17"/>
                <w:szCs w:val="17"/>
              </w:rPr>
              <w:t xml:space="preserve">Organisations may voluntarily designate a data protection adviser</w:t>
            </w:r>
          </w:p>
        </w:tc>
        <w:tc>
          <w:tcPr>
            <w:tcW w:type="dxa" w:w="2800"/>
            <w:tcBorders>
              <w:top w:val="single" w:color="2A2A35" w:sz="1"/>
              <w:left w:val="single" w:color="2A2A35" w:sz="1"/>
              <w:bottom w:val="single" w:color="2A2A35" w:sz="1"/>
              <w:right w:val="single" w:color="2A2A35" w:sz="1"/>
            </w:tcBorders>
            <w:shd w:fill="0A0A0F" w:val="clear"/>
            <w:tcMar>
              <w:top w:type="dxa" w:w="60"/>
              <w:left w:type="dxa" w:w="100"/>
              <w:bottom w:type="dxa" w:w="60"/>
              <w:right w:type="dxa" w:w="100"/>
            </w:tcMar>
          </w:tcPr>
          <w:p>
            <w:r>
              <w:rPr>
                <w:rFonts w:ascii="Arial" w:cs="Arial" w:eastAsia="Arial" w:hAnsi="Arial"/>
                <w:color w:val="E8E2D9"/>
                <w:sz w:val="17"/>
                <w:szCs w:val="17"/>
              </w:rPr>
              <w:t xml:space="preserve">Not currently designated. Will be evaluated as part of Swiss market entry preparation in consultation with Swiss counsel.</w:t>
            </w:r>
          </w:p>
        </w:tc>
        <w:tc>
          <w:tcPr>
            <w:tcW w:type="dxa" w:w="1800"/>
            <w:tcBorders>
              <w:top w:val="single" w:color="2A2A35" w:sz="1"/>
              <w:left w:val="single" w:color="2A2A35" w:sz="1"/>
              <w:bottom w:val="single" w:color="2A2A35" w:sz="1"/>
              <w:right w:val="single" w:color="2A2A35" w:sz="1"/>
            </w:tcBorders>
            <w:shd w:fill="0A0A0F" w:val="clear"/>
            <w:tcMar>
              <w:top w:type="dxa" w:w="60"/>
              <w:left w:type="dxa" w:w="100"/>
              <w:bottom w:type="dxa" w:w="60"/>
              <w:right w:type="dxa" w:w="100"/>
            </w:tcMar>
          </w:tcPr>
          <w:p>
            <w:r>
              <w:rPr>
                <w:rFonts w:ascii="Arial" w:cs="Arial" w:eastAsia="Arial" w:hAnsi="Arial"/>
                <w:color w:val="E8E2D9"/>
                <w:sz w:val="17"/>
                <w:szCs w:val="17"/>
              </w:rPr>
              <w:t xml:space="preserve">Pending Swiss counsel review</w:t>
            </w:r>
          </w:p>
        </w:tc>
        <w:tc>
          <w:tcPr>
            <w:tcW w:type="dxa" w:w="1200"/>
            <w:tcBorders>
              <w:top w:val="single" w:color="2A2A35" w:sz="1"/>
              <w:left w:val="single" w:color="2A2A35" w:sz="1"/>
              <w:bottom w:val="single" w:color="2A2A35" w:sz="1"/>
              <w:right w:val="single" w:color="2A2A35" w:sz="1"/>
            </w:tcBorders>
            <w:shd w:fill="F5F5F5" w:val="clear"/>
            <w:tcMar>
              <w:top w:type="dxa" w:w="60"/>
              <w:left w:type="dxa" w:w="100"/>
              <w:bottom w:type="dxa" w:w="60"/>
              <w:right w:type="dxa" w:w="100"/>
            </w:tcMar>
          </w:tcPr>
          <w:p>
            <w:r>
              <w:rPr>
                <w:rFonts w:ascii="Arial" w:cs="Arial" w:eastAsia="Arial" w:hAnsi="Arial"/>
                <w:b/>
                <w:bCs/>
                <w:color w:val="777777"/>
                <w:sz w:val="17"/>
                <w:szCs w:val="17"/>
              </w:rPr>
              <w:t xml:space="preserve">N/A</w:t>
            </w:r>
          </w:p>
        </w:tc>
      </w:tr>
      <w:tr>
        <w:tc>
          <w:tcPr>
            <w:tcW w:type="dxa" w:w="16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b/>
                <w:bCs/>
                <w:color w:val="E8E8EC"/>
                <w:sz w:val="17"/>
                <w:szCs w:val="17"/>
              </w:rPr>
              <w:t xml:space="preserve">nDSG — Privacy notice</w:t>
            </w:r>
          </w:p>
        </w:tc>
        <w:tc>
          <w:tcPr>
            <w:tcW w:type="dxa" w:w="22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color w:val="E8E2D9"/>
                <w:sz w:val="17"/>
                <w:szCs w:val="17"/>
              </w:rPr>
              <w:t xml:space="preserve">Individuals must be informed about data collection and processing</w:t>
            </w:r>
          </w:p>
        </w:tc>
        <w:tc>
          <w:tcPr>
            <w:tcW w:type="dxa" w:w="28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color w:val="E8E2D9"/>
                <w:sz w:val="17"/>
                <w:szCs w:val="17"/>
              </w:rPr>
              <w:t xml:space="preserve">Privacy notice is the responsibility of the licensed IAM as data controller. InvestPuppy’s role and data processing activities are described in the DPA for inclusion in the IAM’s privacy notice.</w:t>
            </w:r>
          </w:p>
        </w:tc>
        <w:tc>
          <w:tcPr>
            <w:tcW w:type="dxa" w:w="18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color w:val="E8E2D9"/>
                <w:sz w:val="17"/>
                <w:szCs w:val="17"/>
              </w:rPr>
              <w:t xml:space="preserve">DPA template (pending)</w:t>
            </w:r>
          </w:p>
        </w:tc>
        <w:tc>
          <w:tcPr>
            <w:tcW w:type="dxa" w:w="1200"/>
            <w:tcBorders>
              <w:top w:val="single" w:color="2A2A35" w:sz="1"/>
              <w:left w:val="single" w:color="2A2A35" w:sz="1"/>
              <w:bottom w:val="single" w:color="2A2A35" w:sz="1"/>
              <w:right w:val="single" w:color="2A2A35" w:sz="1"/>
            </w:tcBorders>
            <w:shd w:fill="FFF3E0" w:val="clear"/>
            <w:tcMar>
              <w:top w:type="dxa" w:w="60"/>
              <w:left w:type="dxa" w:w="100"/>
              <w:bottom w:type="dxa" w:w="60"/>
              <w:right w:type="dxa" w:w="100"/>
            </w:tcMar>
          </w:tcPr>
          <w:p>
            <w:r>
              <w:rPr>
                <w:rFonts w:ascii="Arial" w:cs="Arial" w:eastAsia="Arial" w:hAnsi="Arial"/>
                <w:b/>
                <w:bCs/>
                <w:color w:val="E65100"/>
                <w:sz w:val="17"/>
                <w:szCs w:val="17"/>
              </w:rPr>
              <w:t xml:space="preserve">PARTIAL</w:t>
            </w:r>
          </w:p>
        </w:tc>
      </w:tr>
    </w:tbl>
    <w:p>
      <w:pPr>
        <w:spacing w:after="0" w:before="120"/>
      </w:pPr>
    </w:p>
    <w:p>
      <w:pPr>
        <w:pStyle w:val="Heading1"/>
        <w:pBdr>
          <w:bottom w:val="single" w:color="C8A96E" w:sz="3" w:space="4"/>
        </w:pBdr>
        <w:spacing w:after="80" w:before="360"/>
      </w:pPr>
      <w:r>
        <w:rPr>
          <w:rFonts w:ascii="Arial" w:cs="Arial" w:eastAsia="Arial" w:hAnsi="Arial"/>
          <w:b/>
          <w:bCs/>
          <w:caps/>
          <w:color w:val="C8A96E"/>
          <w:sz w:val="24"/>
          <w:szCs w:val="24"/>
        </w:rPr>
        <w:t xml:space="preserve">Gap Summary</w:t>
      </w:r>
    </w:p>
    <w:p>
      <w:pPr>
        <w:spacing w:after="50" w:before="50" w:line="315" w:lineRule="auto"/>
      </w:pPr>
      <w:r>
        <w:rPr>
          <w:rFonts w:ascii="Arial" w:cs="Arial" w:eastAsia="Arial" w:hAnsi="Arial"/>
          <w:b w:val="false"/>
          <w:bCs w:val="false"/>
          <w:i w:val="false"/>
          <w:iCs w:val="false"/>
          <w:color w:val="E8E2D9"/>
          <w:sz w:val="20"/>
          <w:szCs w:val="20"/>
        </w:rPr>
        <w:t xml:space="preserve">All PARTIAL and GAP items are known and planned for. The following are the priority remediation items before Swiss institutional distribution:</w:t>
      </w:r>
    </w:p>
    <w:p>
      <w:pPr>
        <w:spacing w:after="0" w:before="60"/>
      </w:pPr>
    </w:p>
    <w:p>
      <w:pPr>
        <w:pStyle w:val="ListParagraph"/>
        <w:numPr>
          <w:ilvl w:val="0"/>
          <w:numId w:val="2"/>
        </w:numPr>
        <w:spacing w:after="55" w:before="55" w:line="295" w:lineRule="auto"/>
      </w:pPr>
      <w:r>
        <w:rPr>
          <w:rFonts w:ascii="Arial" w:cs="Arial" w:eastAsia="Arial" w:hAnsi="Arial"/>
          <w:color w:val="E8E2D9"/>
          <w:sz w:val="20"/>
          <w:szCs w:val="20"/>
        </w:rPr>
        <w:t xml:space="preserve">Swiss legal counsel review of this matrix — confirms positions and identifies any additional requirements.</w:t>
      </w:r>
    </w:p>
    <w:p>
      <w:pPr>
        <w:pStyle w:val="ListParagraph"/>
        <w:numPr>
          <w:ilvl w:val="0"/>
          <w:numId w:val="2"/>
        </w:numPr>
        <w:spacing w:after="55" w:before="55" w:line="295" w:lineRule="auto"/>
      </w:pPr>
      <w:r>
        <w:rPr>
          <w:rFonts w:ascii="Arial" w:cs="Arial" w:eastAsia="Arial" w:hAnsi="Arial"/>
          <w:color w:val="E8E2D9"/>
          <w:sz w:val="20"/>
          <w:szCs w:val="20"/>
        </w:rPr>
        <w:t xml:space="preserve">RBAC and maker/checker workflow — required before live institutional deployment.</w:t>
      </w:r>
    </w:p>
    <w:p>
      <w:pPr>
        <w:pStyle w:val="ListParagraph"/>
        <w:numPr>
          <w:ilvl w:val="0"/>
          <w:numId w:val="2"/>
        </w:numPr>
        <w:spacing w:after="55" w:before="55" w:line="295" w:lineRule="auto"/>
      </w:pPr>
      <w:r>
        <w:rPr>
          <w:rFonts w:ascii="Arial" w:cs="Arial" w:eastAsia="Arial" w:hAnsi="Arial"/>
          <w:color w:val="E8E2D9"/>
          <w:sz w:val="20"/>
          <w:szCs w:val="20"/>
        </w:rPr>
        <w:t xml:space="preserve">Walk-forward strategy validation — addresses the out-of-sample testing requirement for systematic methodologies.</w:t>
      </w:r>
    </w:p>
    <w:p>
      <w:pPr>
        <w:pStyle w:val="ListParagraph"/>
        <w:numPr>
          <w:ilvl w:val="0"/>
          <w:numId w:val="2"/>
        </w:numPr>
        <w:spacing w:after="55" w:before="55" w:line="295" w:lineRule="auto"/>
      </w:pPr>
      <w:r>
        <w:rPr>
          <w:rFonts w:ascii="Arial" w:cs="Arial" w:eastAsia="Arial" w:hAnsi="Arial"/>
          <w:color w:val="E8E2D9"/>
          <w:sz w:val="20"/>
          <w:szCs w:val="20"/>
        </w:rPr>
        <w:t xml:space="preserve">Data processing agreement template for Swiss deployments — GDPR-equivalent coverage under Swiss nDSG.</w:t>
      </w:r>
    </w:p>
    <w:p>
      <w:pPr>
        <w:pStyle w:val="ListParagraph"/>
        <w:numPr>
          <w:ilvl w:val="0"/>
          <w:numId w:val="2"/>
        </w:numPr>
        <w:spacing w:after="55" w:before="55" w:line="295" w:lineRule="auto"/>
      </w:pPr>
      <w:r>
        <w:rPr>
          <w:rFonts w:ascii="Arial" w:cs="Arial" w:eastAsia="Arial" w:hAnsi="Arial"/>
          <w:color w:val="E8E2D9"/>
          <w:sz w:val="20"/>
          <w:szCs w:val="20"/>
        </w:rPr>
        <w:t xml:space="preserve">Business continuity plan — documents RTO, RPO, and backup procedures.</w:t>
      </w:r>
    </w:p>
    <w:p>
      <w:pPr>
        <w:pStyle w:val="ListParagraph"/>
        <w:numPr>
          <w:ilvl w:val="0"/>
          <w:numId w:val="2"/>
        </w:numPr>
        <w:spacing w:after="55" w:before="55" w:line="295" w:lineRule="auto"/>
      </w:pPr>
      <w:r>
        <w:rPr>
          <w:rFonts w:ascii="Arial" w:cs="Arial" w:eastAsia="Arial" w:hAnsi="Arial"/>
          <w:color w:val="E8E2D9"/>
          <w:sz w:val="20"/>
          <w:szCs w:val="20"/>
        </w:rPr>
        <w:t xml:space="preserve">EU data residency confirmation for Swiss deployments — confirmed at contract stage.</w:t>
      </w:r>
    </w:p>
    <w:p>
      <w:pPr>
        <w:spacing w:after="0" w:before="120"/>
      </w:pPr>
    </w:p>
    <w:p>
      <w:pPr>
        <w:pBdr>
          <w:bottom w:val="single" w:color="C8A96E" w:sz="6" w:space="1"/>
        </w:pBdr>
        <w:spacing w:after="180" w:before="0"/>
      </w:pPr>
    </w:p>
    <w:p>
      <w:pPr>
        <w:spacing w:after="0" w:before="80"/>
      </w:pPr>
    </w:p>
    <w:p>
      <w:pPr>
        <w:spacing w:after="0" w:before="0"/>
      </w:pPr>
      <w:r>
        <w:rPr>
          <w:rFonts w:ascii="Arial" w:cs="Arial" w:eastAsia="Arial" w:hAnsi="Arial"/>
          <w:color w:val="2A2A35"/>
          <w:sz w:val="17"/>
          <w:szCs w:val="17"/>
        </w:rPr>
        <w:t xml:space="preserve">InvestPuppy · investpuppy.com · contact@investpuppy.com · May 2026 · DRAFT</w:t>
      </w:r>
    </w:p>
    <w:sectPr>
      <w:headerReference w:type="default" r:id="rId7"/>
      <w:footerReference w:type="default" r:id="rId8"/>
      <w:pgSz w:w="11906" w:h="16838" w:orient="portrait"/>
      <w:pgMar w:top="1200" w:right="1400" w:bottom="12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A2A35" w:sz="3" w:space="1"/>
      </w:pBdr>
      <w:tabs>
        <w:tab w:val="right" w:pos="8600"/>
      </w:tabs>
      <w:spacing w:after="0" w:before="120"/>
    </w:pPr>
    <w:r>
      <w:rPr>
        <w:rFonts w:ascii="Arial" w:cs="Arial" w:eastAsia="Arial" w:hAnsi="Arial"/>
        <w:i/>
        <w:iCs/>
        <w:color w:val="2A2A35"/>
        <w:sz w:val="14"/>
        <w:szCs w:val="14"/>
      </w:rPr>
      <w:t xml:space="preserve">Tier 3 · NDA Required · Draft — pending legal review</w:t>
    </w:r>
    <w:r>
      <w:rPr>
        <w:rFonts w:ascii="Arial" w:cs="Arial" w:eastAsia="Arial" w:hAnsi="Arial"/>
        <w:color w:val="2A2A35"/>
        <w:sz w:val="14"/>
        <w:szCs w:val="14"/>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96E" w:sz="4" w:space="1"/>
      </w:pBdr>
      <w:tabs>
        <w:tab w:val="right" w:pos="8600"/>
      </w:tabs>
      <w:spacing w:after="120" w:before="0"/>
    </w:pPr>
    <w:r>
      <w:rPr>
        <w:rFonts w:ascii="Arial" w:cs="Arial" w:eastAsia="Arial" w:hAnsi="Arial"/>
        <w:b/>
        <w:bCs/>
        <w:color w:val="C8A96E"/>
        <w:sz w:val="15"/>
        <w:szCs w:val="15"/>
      </w:rPr>
      <w:t xml:space="preserve">Vektor · Regulatory Matrix · Switzerland</w:t>
    </w:r>
    <w:r>
      <w:rPr>
        <w:rFonts w:ascii="Arial" w:cs="Arial" w:eastAsia="Arial" w:hAnsi="Arial"/>
        <w:color w:val="2A2A35"/>
        <w:sz w:val="14"/>
        <w:szCs w:val="14"/>
      </w:rPr>
      <w:t xml:space="preserve">	CONFIDENTIAL · NDA Recipients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E8E2D9"/>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60"/>
      <w:outlineLvl w:val="0"/>
    </w:pPr>
    <w:rPr>
      <w:rFonts w:ascii="Arial" w:cs="Arial" w:eastAsia="Arial" w:hAnsi="Arial"/>
      <w:b/>
      <w:bCs/>
      <w:caps/>
      <w:color w:val="C8A96E"/>
      <w:sz w:val="24"/>
      <w:szCs w:val="24"/>
    </w:rPr>
  </w:style>
  <w:style w:type="paragraph" w:styleId="Heading2">
    <w:name w:val="Heading 2"/>
    <w:basedOn w:val="Normal"/>
    <w:next w:val="Normal"/>
    <w:qFormat/>
    <w:pPr>
      <w:spacing w:after="60" w:before="240"/>
      <w:outlineLvl w:val="1"/>
    </w:pPr>
    <w:rPr>
      <w:rFonts w:ascii="Arial" w:cs="Arial" w:eastAsia="Arial" w:hAnsi="Arial"/>
      <w:b/>
      <w:bCs/>
      <w:color w:val="E8E8EC"/>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2026-05-12T15:59:13.512Z</dcterms:created>
  <dcterms:modified xsi:type="dcterms:W3CDTF">2026-05-12T15:59:13.512Z</dcterms:modified>
</cp:coreProperties>
</file>

<file path=docProps/custom.xml><?xml version="1.0" encoding="utf-8"?>
<Properties xmlns="http://schemas.openxmlformats.org/officeDocument/2006/custom-properties" xmlns:vt="http://schemas.openxmlformats.org/officeDocument/2006/docPropsVTypes"/>
</file>