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50" w:before="0"/>
      </w:pPr>
      <w:r>
        <w:rPr>
          <w:rFonts w:ascii="Arial" w:cs="Arial" w:eastAsia="Arial" w:hAnsi="Arial"/>
          <w:b/>
          <w:bCs/>
          <w:caps/>
          <w:color w:val="C8A96E"/>
          <w:sz w:val="15"/>
          <w:szCs w:val="15"/>
        </w:rPr>
        <w:t xml:space="preserve">VEKTOR BY INVESTPUPPY</w:t>
      </w:r>
    </w:p>
    <w:p>
      <w:pPr>
        <w:spacing w:after="80" w:before="0"/>
      </w:pPr>
      <w:r>
        <w:rPr>
          <w:rFonts w:ascii="Arial" w:cs="Arial" w:eastAsia="Arial" w:hAnsi="Arial"/>
          <w:b/>
          <w:bCs/>
          <w:color w:val="E8E8EC"/>
          <w:sz w:val="40"/>
          <w:szCs w:val="40"/>
        </w:rPr>
        <w:t xml:space="preserve">Regulatory Compliance Matrix</w:t>
      </w:r>
    </w:p>
    <w:p>
      <w:pPr>
        <w:spacing w:after="40" w:before="0"/>
      </w:pPr>
      <w:r>
        <w:rPr>
          <w:rFonts w:ascii="Arial" w:cs="Arial" w:eastAsia="Arial" w:hAnsi="Arial"/>
          <w:b/>
          <w:bCs/>
          <w:color w:val="C62828"/>
          <w:sz w:val="18"/>
          <w:szCs w:val="18"/>
        </w:rPr>
        <w:t xml:space="preserve">Singapore · Confidential · NDA recipients only</w:t>
      </w:r>
    </w:p>
    <w:p>
      <w:pPr>
        <w:pBdr>
          <w:bottom w:val="single" w:color="C8A96E" w:sz="10" w:space="1"/>
        </w:pBdr>
        <w:spacing w:after="180" w:before="0"/>
      </w:pPr>
    </w:p>
    <w:p>
      <w:pPr>
        <w:spacing w:after="0" w:before="60"/>
      </w:pPr>
    </w:p>
    <w:p>
      <w:pPr>
        <w:spacing w:after="50" w:before="50" w:line="315" w:lineRule="auto"/>
      </w:pPr>
      <w:r>
        <w:rPr>
          <w:rFonts w:ascii="Arial" w:cs="Arial" w:eastAsia="Arial" w:hAnsi="Arial"/>
          <w:b w:val="false"/>
          <w:bCs w:val="false"/>
          <w:i/>
          <w:iCs/>
          <w:color w:val="E8E2D9"/>
          <w:sz w:val="20"/>
          <w:szCs w:val="20"/>
        </w:rPr>
        <w:t xml:space="preserve">This matrix represents InvestPuppy’s assessment of the applicable Singapore regulatory requirements for a systematic portfolio management platform and the Vektor platform’s position against each requirement. It has been prepared for review by qualified legal counsel. It does not constitute legal advice to the reader. Regulated entities should seek their own legal advice on the application of these requirements to their specific circumstances.</w:t>
      </w:r>
    </w:p>
    <w:p>
      <w:pPr>
        <w:spacing w:after="0" w:before="60"/>
      </w:pPr>
    </w:p>
    <w:p>
      <w:pPr>
        <w:spacing w:after="50" w:before="50" w:line="315" w:lineRule="auto"/>
      </w:pPr>
      <w:r>
        <w:rPr>
          <w:rFonts w:ascii="Arial" w:cs="Arial" w:eastAsia="Arial" w:hAnsi="Arial"/>
          <w:b w:val="false"/>
          <w:bCs w:val="false"/>
          <w:i/>
          <w:iCs/>
          <w:color w:val="B8B4C0"/>
          <w:sz w:val="20"/>
          <w:szCs w:val="20"/>
        </w:rPr>
        <w:t xml:space="preserve">Last reviewed: May 2026. Status: Draft — pending legal counsel review.</w:t>
      </w:r>
    </w:p>
    <w:p>
      <w:pPr>
        <w:spacing w:after="0" w:before="80"/>
      </w:pPr>
    </w:p>
    <w:p>
      <w:pPr>
        <w:pStyle w:val="Heading1"/>
        <w:pBdr>
          <w:bottom w:val="single" w:color="C8A96E" w:sz="3" w:space="4"/>
        </w:pBdr>
        <w:spacing w:after="80" w:before="360"/>
      </w:pPr>
      <w:r>
        <w:rPr>
          <w:rFonts w:ascii="Arial" w:cs="Arial" w:eastAsia="Arial" w:hAnsi="Arial"/>
          <w:b/>
          <w:bCs/>
          <w:caps/>
          <w:color w:val="C8A96E"/>
          <w:sz w:val="24"/>
          <w:szCs w:val="24"/>
        </w:rPr>
        <w:t xml:space="preserve">Regulatory Position Statement</w:t>
      </w:r>
    </w:p>
    <w:p>
      <w:pPr>
        <w:spacing w:after="50" w:before="50" w:line="315" w:lineRule="auto"/>
      </w:pPr>
      <w:r>
        <w:rPr>
          <w:rFonts w:ascii="Arial" w:cs="Arial" w:eastAsia="Arial" w:hAnsi="Arial"/>
          <w:b w:val="false"/>
          <w:bCs w:val="false"/>
          <w:i w:val="false"/>
          <w:iCs w:val="false"/>
          <w:color w:val="E8E2D9"/>
          <w:sz w:val="20"/>
          <w:szCs w:val="20"/>
        </w:rPr>
        <w:t xml:space="preserve">Vektor is a technology platform used by licensed wealth management professionals to conduct their regulated investment management activities. Vektor does not manage client assets on a discretionary basis. It does not provide investment advice to end clients. It does not arrange deals on behalf of clients. The licensed entity using Vektor — the DPM, EAM, or family office — retains regulatory accountability for all investment decisions made using the platform.</w:t>
      </w:r>
    </w:p>
    <w:p>
      <w:pPr>
        <w:spacing w:after="0" w:before="80"/>
      </w:pPr>
    </w:p>
    <w:p>
      <w:pPr>
        <w:spacing w:after="50" w:before="50" w:line="315" w:lineRule="auto"/>
      </w:pPr>
      <w:r>
        <w:rPr>
          <w:rFonts w:ascii="Arial" w:cs="Arial" w:eastAsia="Arial" w:hAnsi="Arial"/>
          <w:b w:val="false"/>
          <w:bCs w:val="false"/>
          <w:i w:val="false"/>
          <w:iCs w:val="false"/>
          <w:color w:val="E8E2D9"/>
          <w:sz w:val="20"/>
          <w:szCs w:val="20"/>
        </w:rPr>
        <w:t xml:space="preserve">This position is consistent with the regulatory treatment of analytical and execution tools used by licensed investment managers in Singapore. Bloomberg PORT, FactSet, and equivalent systematic tools operate on the same basis.</w:t>
      </w:r>
    </w:p>
    <w:p>
      <w:pPr>
        <w:spacing w:after="0" w:before="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MET: Requirement is addressed by the current platform or documentation.</w:t>
            </w:r>
          </w:p>
        </w:tc>
      </w:tr>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PARTIAL: Requirement is partially addressed. Gap and remediation noted.</w:t>
            </w:r>
          </w:p>
        </w:tc>
      </w:tr>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GAP: Requirement is not currently addressed. Remediation planned.</w:t>
            </w:r>
          </w:p>
        </w:tc>
      </w:tr>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N/A: Requirement does not apply to this platform at this stage.</w:t>
            </w:r>
          </w:p>
        </w:tc>
      </w:tr>
    </w:tbl>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Financial Advisers Act (FAA)</w:t>
      </w:r>
    </w:p>
    <w:p>
      <w:pPr>
        <w:spacing w:after="50" w:before="50" w:line="315" w:lineRule="auto"/>
      </w:pPr>
      <w:r>
        <w:rPr>
          <w:rFonts w:ascii="Arial" w:cs="Arial" w:eastAsia="Arial" w:hAnsi="Arial"/>
          <w:b w:val="false"/>
          <w:bCs w:val="false"/>
          <w:i w:val="false"/>
          <w:iCs w:val="false"/>
          <w:color w:val="E8E2D9"/>
          <w:sz w:val="20"/>
          <w:szCs w:val="20"/>
        </w:rPr>
        <w:t xml:space="preserve">The FAA regulates the provision of financial advisory services in Singapore. The key question for Vektor is whether its systematic signal generation and portfolio construction constitutes ‘financial advice’ under the Act.</w:t>
      </w:r>
    </w:p>
    <w:p>
      <w:pPr>
        <w:spacing w:after="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1800"/>
        <w:gridCol w:w="1200"/>
      </w:tblGrid>
      <w:tr>
        <w:trPr>
          <w:tblHeader/>
        </w:trPr>
        <w:tc>
          <w:tcPr>
            <w:tcW w:type="dxa" w:w="16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Requirement</w:t>
            </w:r>
          </w:p>
        </w:tc>
        <w:tc>
          <w:tcPr>
            <w:tcW w:type="dxa" w:w="22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Description</w:t>
            </w:r>
          </w:p>
        </w:tc>
        <w:tc>
          <w:tcPr>
            <w:tcW w:type="dxa" w:w="28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InvestPuppy Position</w:t>
            </w:r>
          </w:p>
        </w:tc>
        <w:tc>
          <w:tcPr>
            <w:tcW w:type="dxa" w:w="18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Evidence</w:t>
            </w:r>
          </w:p>
        </w:tc>
        <w:tc>
          <w:tcPr>
            <w:tcW w:type="dxa" w:w="12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Status</w:t>
            </w:r>
          </w:p>
        </w:tc>
      </w:tr>
      <w:tr>
        <w:tc>
          <w:tcPr>
            <w:tcW w:type="dxa" w:w="16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b/>
                <w:bCs/>
                <w:color w:val="E8E8EC"/>
                <w:sz w:val="17"/>
                <w:szCs w:val="17"/>
              </w:rPr>
              <w:t xml:space="preserve">FAA S2 — Financial advice definition</w:t>
            </w:r>
          </w:p>
        </w:tc>
        <w:tc>
          <w:tcPr>
            <w:tcW w:type="dxa" w:w="22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Advice on whether to buy, sell, or hold an investment product</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Vektor generates trade signals based on systematic technical and ML methodology. Signals are provided to a licensed investment manager who makes the investment decision. Vektor does not advise end clients. This is consistent with MAS’s treatment of systematic tools used by licensed managers.</w:t>
            </w:r>
          </w:p>
        </w:tc>
        <w:tc>
          <w:tcPr>
            <w:tcW w:type="dxa" w:w="1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WP-08 AI/ML philosophy; UC02 workflow documentation; What Vektor Is Not</w:t>
            </w:r>
          </w:p>
        </w:tc>
        <w:tc>
          <w:tcPr>
            <w:tcW w:type="dxa" w:w="1200"/>
            <w:tcBorders>
              <w:top w:val="single" w:color="2A2A35" w:sz="1"/>
              <w:left w:val="single" w:color="2A2A35" w:sz="1"/>
              <w:bottom w:val="single" w:color="2A2A35" w:sz="1"/>
              <w:right w:val="single" w:color="2A2A35"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MET</w:t>
            </w:r>
          </w:p>
        </w:tc>
      </w:tr>
      <w:tr>
        <w:tc>
          <w:tcPr>
            <w:tcW w:type="dxa" w:w="16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b/>
                <w:bCs/>
                <w:color w:val="E8E8EC"/>
                <w:sz w:val="17"/>
                <w:szCs w:val="17"/>
              </w:rPr>
              <w:t xml:space="preserve">FAA S6 — Exempt entities</w:t>
            </w:r>
          </w:p>
        </w:tc>
        <w:tc>
          <w:tcPr>
            <w:tcW w:type="dxa" w:w="22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Certain activities and entities are exempt from FAA licensing</w:t>
            </w:r>
          </w:p>
        </w:tc>
        <w:tc>
          <w:tcPr>
            <w:tcW w:type="dxa" w:w="2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The platform’s users are licensed under the FAA or are otherwise exempt. Vektor itself is not conducting a regulated activity. Confirmed legal review of this position is pending.</w:t>
            </w:r>
          </w:p>
        </w:tc>
        <w:tc>
          <w:tcPr>
            <w:tcW w:type="dxa" w:w="1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Pending counsel review</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r>
        <w:tc>
          <w:tcPr>
            <w:tcW w:type="dxa" w:w="16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b/>
                <w:bCs/>
                <w:color w:val="E8E8EC"/>
                <w:sz w:val="17"/>
                <w:szCs w:val="17"/>
              </w:rPr>
              <w:t xml:space="preserve">FAA — Client suitability</w:t>
            </w:r>
          </w:p>
        </w:tc>
        <w:tc>
          <w:tcPr>
            <w:tcW w:type="dxa" w:w="22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Financial advisers must ensure advice is suitable for the client</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Suitability assessment is the responsibility of the licensed user. Vektor stores risk_profile and risk_tolerance data per client and portfolio. The platform does not conduct or document a full suitability assessment process.</w:t>
            </w:r>
          </w:p>
        </w:tc>
        <w:tc>
          <w:tcPr>
            <w:tcW w:type="dxa" w:w="1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Data model: customer_master.risk_profile, portfolio_master.risk_tolerance</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bl>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MAS Technology Risk Management Guidelines</w:t>
      </w:r>
    </w:p>
    <w:p>
      <w:pPr>
        <w:spacing w:after="50" w:before="50" w:line="315" w:lineRule="auto"/>
      </w:pPr>
      <w:r>
        <w:rPr>
          <w:rFonts w:ascii="Arial" w:cs="Arial" w:eastAsia="Arial" w:hAnsi="Arial"/>
          <w:b w:val="false"/>
          <w:bCs w:val="false"/>
          <w:i w:val="false"/>
          <w:iCs w:val="false"/>
          <w:color w:val="E8E2D9"/>
          <w:sz w:val="20"/>
          <w:szCs w:val="20"/>
        </w:rPr>
        <w:t xml:space="preserve">The MAS TRM Guidelines apply to financial institutions that rely on technology systems for their business operations. An institutional EAM client or custodian bank using Vektor must include it in their third-party technology risk assessment. Vektor must be able to support that assessment.</w:t>
      </w:r>
    </w:p>
    <w:p>
      <w:pPr>
        <w:spacing w:after="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1800"/>
        <w:gridCol w:w="1200"/>
      </w:tblGrid>
      <w:tr>
        <w:trPr>
          <w:tblHeader/>
        </w:trPr>
        <w:tc>
          <w:tcPr>
            <w:tcW w:type="dxa" w:w="16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Requirement</w:t>
            </w:r>
          </w:p>
        </w:tc>
        <w:tc>
          <w:tcPr>
            <w:tcW w:type="dxa" w:w="22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Description</w:t>
            </w:r>
          </w:p>
        </w:tc>
        <w:tc>
          <w:tcPr>
            <w:tcW w:type="dxa" w:w="28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InvestPuppy Position</w:t>
            </w:r>
          </w:p>
        </w:tc>
        <w:tc>
          <w:tcPr>
            <w:tcW w:type="dxa" w:w="18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Evidence</w:t>
            </w:r>
          </w:p>
        </w:tc>
        <w:tc>
          <w:tcPr>
            <w:tcW w:type="dxa" w:w="12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Status</w:t>
            </w:r>
          </w:p>
        </w:tc>
      </w:tr>
      <w:tr>
        <w:tc>
          <w:tcPr>
            <w:tcW w:type="dxa" w:w="16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b/>
                <w:bCs/>
                <w:color w:val="E8E8EC"/>
                <w:sz w:val="17"/>
                <w:szCs w:val="17"/>
              </w:rPr>
              <w:t xml:space="preserve">TRM 5 — Third-party management</w:t>
            </w:r>
          </w:p>
        </w:tc>
        <w:tc>
          <w:tcPr>
            <w:tcW w:type="dxa" w:w="22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FIs must conduct due diligence on third-party technology service providers</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InvestPuppy supports third-party due diligence reviews. This compliance matrix is the primary due diligence document. Security posture documentation, data governance terms, and operational resilience evidence are available under NDA.</w:t>
            </w:r>
          </w:p>
        </w:tc>
        <w:tc>
          <w:tcPr>
            <w:tcW w:type="dxa" w:w="1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This document; security posture doc (pending); data governance terms</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r>
        <w:tc>
          <w:tcPr>
            <w:tcW w:type="dxa" w:w="16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b/>
                <w:bCs/>
                <w:color w:val="E8E8EC"/>
                <w:sz w:val="17"/>
                <w:szCs w:val="17"/>
              </w:rPr>
              <w:t xml:space="preserve">TRM 9 — Operational resilience</w:t>
            </w:r>
          </w:p>
        </w:tc>
        <w:tc>
          <w:tcPr>
            <w:tcW w:type="dxa" w:w="22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FIs must ensure technology systems supporting critical operations are resilient</w:t>
            </w:r>
          </w:p>
        </w:tc>
        <w:tc>
          <w:tcPr>
            <w:tcW w:type="dxa" w:w="2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Vektor is deployed on AWS infrastructure (ap-southeast-1). Uptime SLA: 99.5% for critical endpoints. Documented RTO and RPO. Business continuity plan in preparation.</w:t>
            </w:r>
          </w:p>
        </w:tc>
        <w:tc>
          <w:tcPr>
            <w:tcW w:type="dxa" w:w="1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AWS infrastructure documentation; SLA terms in partnership agreement</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r>
        <w:tc>
          <w:tcPr>
            <w:tcW w:type="dxa" w:w="16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b/>
                <w:bCs/>
                <w:color w:val="E8E8EC"/>
                <w:sz w:val="17"/>
                <w:szCs w:val="17"/>
              </w:rPr>
              <w:t xml:space="preserve">TRM 7 — Access controls</w:t>
            </w:r>
          </w:p>
        </w:tc>
        <w:tc>
          <w:tcPr>
            <w:tcW w:type="dxa" w:w="22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Systems must have appropriate access controls and identity management</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RBAC with role-based access control is on the near-term roadmap. Current state: founder-managed access controls adequate for pre-institutional deployment. RBAC implemented before first institutional go-live.</w:t>
            </w:r>
          </w:p>
        </w:tc>
        <w:tc>
          <w:tcPr>
            <w:tcW w:type="dxa" w:w="1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Roadmap: RBAC priority 1; current access control documentation</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r>
        <w:tc>
          <w:tcPr>
            <w:tcW w:type="dxa" w:w="16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b/>
                <w:bCs/>
                <w:color w:val="E8E8EC"/>
                <w:sz w:val="17"/>
                <w:szCs w:val="17"/>
              </w:rPr>
              <w:t xml:space="preserve">TRM 11 — Incident management</w:t>
            </w:r>
          </w:p>
        </w:tc>
        <w:tc>
          <w:tcPr>
            <w:tcW w:type="dxa" w:w="22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FIs must have documented incident response procedures</w:t>
            </w:r>
          </w:p>
        </w:tc>
        <w:tc>
          <w:tcPr>
            <w:tcW w:type="dxa" w:w="2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Incident response procedure documented. Escalation path to InvestPuppy project lead for critical issues. SLA terms agreed at contract stage.</w:t>
            </w:r>
          </w:p>
        </w:tc>
        <w:tc>
          <w:tcPr>
            <w:tcW w:type="dxa" w:w="1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Incident response procedure (pending publication)</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r>
        <w:tc>
          <w:tcPr>
            <w:tcW w:type="dxa" w:w="16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b/>
                <w:bCs/>
                <w:color w:val="E8E8EC"/>
                <w:sz w:val="17"/>
                <w:szCs w:val="17"/>
              </w:rPr>
              <w:t xml:space="preserve">TRM 4 — IT audit</w:t>
            </w:r>
          </w:p>
        </w:tc>
        <w:tc>
          <w:tcPr>
            <w:tcW w:type="dxa" w:w="22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Regular security assessments and audits</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SOC 2 Type II audit is on the roadmap. Current security assessment available for institutional partner review on request. Penetration testing planned prior to first institutional go-live.</w:t>
            </w:r>
          </w:p>
        </w:tc>
        <w:tc>
          <w:tcPr>
            <w:tcW w:type="dxa" w:w="1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Security posture document (pending); penetration test plan</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bl>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Securities and Futures Act (SFA)</w:t>
      </w:r>
    </w:p>
    <w:p>
      <w:pPr>
        <w:spacing w:after="50" w:before="50" w:line="315" w:lineRule="auto"/>
      </w:pPr>
      <w:r>
        <w:rPr>
          <w:rFonts w:ascii="Arial" w:cs="Arial" w:eastAsia="Arial" w:hAnsi="Arial"/>
          <w:b w:val="false"/>
          <w:bCs w:val="false"/>
          <w:i w:val="false"/>
          <w:iCs w:val="false"/>
          <w:color w:val="E8E2D9"/>
          <w:sz w:val="20"/>
          <w:szCs w:val="20"/>
        </w:rPr>
        <w:t xml:space="preserve">The SFA regulates capital markets services activities in Singapore. The key questions for Vektor relate to whether the platform conducts dealing, fund management, or product advising activities.</w:t>
      </w:r>
    </w:p>
    <w:p>
      <w:pPr>
        <w:spacing w:after="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1800"/>
        <w:gridCol w:w="1200"/>
      </w:tblGrid>
      <w:tr>
        <w:trPr>
          <w:tblHeader/>
        </w:trPr>
        <w:tc>
          <w:tcPr>
            <w:tcW w:type="dxa" w:w="16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Requirement</w:t>
            </w:r>
          </w:p>
        </w:tc>
        <w:tc>
          <w:tcPr>
            <w:tcW w:type="dxa" w:w="22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Description</w:t>
            </w:r>
          </w:p>
        </w:tc>
        <w:tc>
          <w:tcPr>
            <w:tcW w:type="dxa" w:w="28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InvestPuppy Position</w:t>
            </w:r>
          </w:p>
        </w:tc>
        <w:tc>
          <w:tcPr>
            <w:tcW w:type="dxa" w:w="18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Evidence</w:t>
            </w:r>
          </w:p>
        </w:tc>
        <w:tc>
          <w:tcPr>
            <w:tcW w:type="dxa" w:w="12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Status</w:t>
            </w:r>
          </w:p>
        </w:tc>
      </w:tr>
      <w:tr>
        <w:tc>
          <w:tcPr>
            <w:tcW w:type="dxa" w:w="16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b/>
                <w:bCs/>
                <w:color w:val="E8E8EC"/>
                <w:sz w:val="17"/>
                <w:szCs w:val="17"/>
              </w:rPr>
              <w:t xml:space="preserve">SFA 82 — Dealing in capital markets products</w:t>
            </w:r>
          </w:p>
        </w:tc>
        <w:tc>
          <w:tcPr>
            <w:tcW w:type="dxa" w:w="22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Licensing required for dealing in capital markets products on behalf of others</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Vektor creates orders that are submitted to IBKR for execution. Orders are created by the platform acting on behalf of a licensed investment manager who has configured the strategy and authorised automated execution. The licensed manager retains execution authority. This is consistent with MAS’s treatment of automated execution tools used by licensed managers under the AMS (automated investment management services) framework outlined in MAS’s 2017 consultation and subsequent guidance.</w:t>
            </w:r>
          </w:p>
        </w:tc>
        <w:tc>
          <w:tcPr>
            <w:tcW w:type="dxa" w:w="1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UC02 workflow; order management documentation; MAS AMS consultation paper (Feb 2017); IBKR integration architecture</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r>
        <w:tc>
          <w:tcPr>
            <w:tcW w:type="dxa" w:w="16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b/>
                <w:bCs/>
                <w:color w:val="E8E8EC"/>
                <w:sz w:val="17"/>
                <w:szCs w:val="17"/>
              </w:rPr>
              <w:t xml:space="preserve">SFA 86 — Fund management</w:t>
            </w:r>
          </w:p>
        </w:tc>
        <w:tc>
          <w:tcPr>
            <w:tcW w:type="dxa" w:w="22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Licensing required for managing a collective investment scheme or discretionary account</w:t>
            </w:r>
          </w:p>
        </w:tc>
        <w:tc>
          <w:tcPr>
            <w:tcW w:type="dxa" w:w="2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Vektor does not manage a fund or a discretionary account. It provides systematic tools to licensed fund managers and discretionary portfolio managers. The licensed entity manages the portfolio; Vektor provides the analytical and operational infrastructure.</w:t>
            </w:r>
          </w:p>
        </w:tc>
        <w:tc>
          <w:tcPr>
            <w:tcW w:type="dxa" w:w="1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What Vektor Is Not; brand story; platform description</w:t>
            </w:r>
          </w:p>
        </w:tc>
        <w:tc>
          <w:tcPr>
            <w:tcW w:type="dxa" w:w="1200"/>
            <w:tcBorders>
              <w:top w:val="single" w:color="2A2A35" w:sz="1"/>
              <w:left w:val="single" w:color="2A2A35" w:sz="1"/>
              <w:bottom w:val="single" w:color="2A2A35" w:sz="1"/>
              <w:right w:val="single" w:color="2A2A35"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MET</w:t>
            </w:r>
          </w:p>
        </w:tc>
      </w:tr>
      <w:tr>
        <w:tc>
          <w:tcPr>
            <w:tcW w:type="dxa" w:w="16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b/>
                <w:bCs/>
                <w:color w:val="E8E8EC"/>
                <w:sz w:val="17"/>
                <w:szCs w:val="17"/>
              </w:rPr>
              <w:t xml:space="preserve">SFA — Algorithmic trading</w:t>
            </w:r>
          </w:p>
        </w:tc>
        <w:tc>
          <w:tcPr>
            <w:tcW w:type="dxa" w:w="22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MAS guidance on automated trading systems in regulated markets</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Vektor’s automated order generation is subject to MAS guidance on algorithmic trading. ML validation layer, signal confidence thresholds, and human oversight via Slack notification are all documented. Full algorithmic trading governance documentation to be completed before institutional go-live.</w:t>
            </w:r>
          </w:p>
        </w:tc>
        <w:tc>
          <w:tcPr>
            <w:tcW w:type="dxa" w:w="1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UC02 workflow; WP-08 AI/ML philosophy; algorithmic trading governance doc (pending)</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bl>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Personal Data Protection Act (PDPA)</w:t>
      </w:r>
    </w:p>
    <w:p>
      <w:pPr>
        <w:spacing w:after="50" w:before="50" w:line="315" w:lineRule="auto"/>
      </w:pPr>
      <w:r>
        <w:rPr>
          <w:rFonts w:ascii="Arial" w:cs="Arial" w:eastAsia="Arial" w:hAnsi="Arial"/>
          <w:b w:val="false"/>
          <w:bCs w:val="false"/>
          <w:i w:val="false"/>
          <w:iCs w:val="false"/>
          <w:color w:val="E8E2D9"/>
          <w:sz w:val="20"/>
          <w:szCs w:val="20"/>
        </w:rPr>
        <w:t xml:space="preserve">The PDPA is Singapore’s primary personal data protection legislation and applies to InvestPuppy’s collection, use, and disclosure of client portfolio data. Institutional partners conducting vendor due diligence will include a PDPA assessment.</w:t>
      </w:r>
    </w:p>
    <w:p>
      <w:pPr>
        <w:spacing w:after="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1800"/>
        <w:gridCol w:w="1200"/>
      </w:tblGrid>
      <w:tr>
        <w:trPr>
          <w:tblHeader/>
        </w:trPr>
        <w:tc>
          <w:tcPr>
            <w:tcW w:type="dxa" w:w="16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Requirement</w:t>
            </w:r>
          </w:p>
        </w:tc>
        <w:tc>
          <w:tcPr>
            <w:tcW w:type="dxa" w:w="22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Description</w:t>
            </w:r>
          </w:p>
        </w:tc>
        <w:tc>
          <w:tcPr>
            <w:tcW w:type="dxa" w:w="28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InvestPuppy Position</w:t>
            </w:r>
          </w:p>
        </w:tc>
        <w:tc>
          <w:tcPr>
            <w:tcW w:type="dxa" w:w="18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Evidence</w:t>
            </w:r>
          </w:p>
        </w:tc>
        <w:tc>
          <w:tcPr>
            <w:tcW w:type="dxa" w:w="12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Status</w:t>
            </w:r>
          </w:p>
        </w:tc>
      </w:tr>
      <w:tr>
        <w:tc>
          <w:tcPr>
            <w:tcW w:type="dxa" w:w="16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b/>
                <w:bCs/>
                <w:color w:val="E8E8EC"/>
                <w:sz w:val="17"/>
                <w:szCs w:val="17"/>
              </w:rPr>
              <w:t xml:space="preserve">PDPA S13 — Collection purpose</w:t>
            </w:r>
          </w:p>
        </w:tc>
        <w:tc>
          <w:tcPr>
            <w:tcW w:type="dxa" w:w="22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Personal data collected only for purposes the individual has been notified of or consented to</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Client data collected by InvestPuppy is limited to portfolio management functionality. Data is collected by the licensed institution using Vektor; InvestPuppy processes it as a data processor on the institution’s behalf. Data processing agreement defines the permitted purposes.</w:t>
            </w:r>
          </w:p>
        </w:tc>
        <w:tc>
          <w:tcPr>
            <w:tcW w:type="dxa" w:w="1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Data processing agreement (DPA) template (pending); data governance terms in partnership agreement</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r>
        <w:tc>
          <w:tcPr>
            <w:tcW w:type="dxa" w:w="16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b/>
                <w:bCs/>
                <w:color w:val="E8E8EC"/>
                <w:sz w:val="17"/>
                <w:szCs w:val="17"/>
              </w:rPr>
              <w:t xml:space="preserve">PDPA S24 — Data protection</w:t>
            </w:r>
          </w:p>
        </w:tc>
        <w:tc>
          <w:tcPr>
            <w:tcW w:type="dxa" w:w="22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Organisations must protect personal data in their possession</w:t>
            </w:r>
          </w:p>
        </w:tc>
        <w:tc>
          <w:tcPr>
            <w:tcW w:type="dxa" w:w="2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Client portfolio data is isolated per institutional partner. AWS ap-southeast-1 for Singapore data. Access controls documented. Data access logged and auditable. Encryption at rest and in transit.</w:t>
            </w:r>
          </w:p>
        </w:tc>
        <w:tc>
          <w:tcPr>
            <w:tcW w:type="dxa" w:w="1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Data governance position (this document); security posture document (pending)</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r>
        <w:tc>
          <w:tcPr>
            <w:tcW w:type="dxa" w:w="16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b/>
                <w:bCs/>
                <w:color w:val="E8E8EC"/>
                <w:sz w:val="17"/>
                <w:szCs w:val="17"/>
              </w:rPr>
              <w:t xml:space="preserve">PDPA S26 — Data transfer overseas</w:t>
            </w:r>
          </w:p>
        </w:tc>
        <w:tc>
          <w:tcPr>
            <w:tcW w:type="dxa" w:w="22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Transfer of personal data outside Singapore requires adequate protection</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Data for Singapore-based deployments is processed in AWS ap-southeast-1 (Singapore). No transfer outside Singapore for Singapore client data without explicit agreement. Cross-border transfer terms in DPA.</w:t>
            </w:r>
          </w:p>
        </w:tc>
        <w:tc>
          <w:tcPr>
            <w:tcW w:type="dxa" w:w="1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Data governance position; DPA template (pending)</w:t>
            </w:r>
          </w:p>
        </w:tc>
        <w:tc>
          <w:tcPr>
            <w:tcW w:type="dxa" w:w="1200"/>
            <w:tcBorders>
              <w:top w:val="single" w:color="2A2A35" w:sz="1"/>
              <w:left w:val="single" w:color="2A2A35" w:sz="1"/>
              <w:bottom w:val="single" w:color="2A2A35" w:sz="1"/>
              <w:right w:val="single" w:color="2A2A35"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PARTIAL</w:t>
            </w:r>
          </w:p>
        </w:tc>
      </w:tr>
      <w:tr>
        <w:tc>
          <w:tcPr>
            <w:tcW w:type="dxa" w:w="16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b/>
                <w:bCs/>
                <w:color w:val="E8E8EC"/>
                <w:sz w:val="17"/>
                <w:szCs w:val="17"/>
              </w:rPr>
              <w:t xml:space="preserve">PDPA — Data Protection Officer</w:t>
            </w:r>
          </w:p>
        </w:tc>
        <w:tc>
          <w:tcPr>
            <w:tcW w:type="dxa" w:w="22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Organisations must designate a Data Protection Officer</w:t>
            </w:r>
          </w:p>
        </w:tc>
        <w:tc>
          <w:tcPr>
            <w:tcW w:type="dxa" w:w="2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DPO designation is required before institutional go-live. Currently a founding team responsibility. Formal DPO designation and registration planned as part of institutional readiness.</w:t>
            </w:r>
          </w:p>
        </w:tc>
        <w:tc>
          <w:tcPr>
            <w:tcW w:type="dxa" w:w="1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Pending designation</w:t>
            </w:r>
          </w:p>
        </w:tc>
        <w:tc>
          <w:tcPr>
            <w:tcW w:type="dxa" w:w="1200"/>
            <w:tcBorders>
              <w:top w:val="single" w:color="2A2A35" w:sz="1"/>
              <w:left w:val="single" w:color="2A2A35" w:sz="1"/>
              <w:bottom w:val="single" w:color="2A2A35" w:sz="1"/>
              <w:right w:val="single" w:color="2A2A35" w:sz="1"/>
            </w:tcBorders>
            <w:shd w:fill="FFEBEE" w:val="clear"/>
            <w:tcMar>
              <w:top w:type="dxa" w:w="60"/>
              <w:left w:type="dxa" w:w="100"/>
              <w:bottom w:type="dxa" w:w="60"/>
              <w:right w:type="dxa" w:w="100"/>
            </w:tcMar>
          </w:tcPr>
          <w:p>
            <w:r>
              <w:rPr>
                <w:rFonts w:ascii="Arial" w:cs="Arial" w:eastAsia="Arial" w:hAnsi="Arial"/>
                <w:b/>
                <w:bCs/>
                <w:color w:val="C62828"/>
                <w:sz w:val="17"/>
                <w:szCs w:val="17"/>
              </w:rPr>
              <w:t xml:space="preserve">GAP</w:t>
            </w:r>
          </w:p>
        </w:tc>
      </w:tr>
    </w:tbl>
    <w:p>
      <w:pPr>
        <w:spacing w:after="0" w:before="120"/>
      </w:pPr>
    </w:p>
    <w:p>
      <w:pPr>
        <w:spacing w:after="50" w:before="50" w:line="315" w:lineRule="auto"/>
      </w:pPr>
      <w:r>
        <w:rPr>
          <w:rFonts w:ascii="Arial" w:cs="Arial" w:eastAsia="Arial" w:hAnsi="Arial"/>
          <w:b w:val="false"/>
          <w:bCs w:val="false"/>
          <w:i w:val="false"/>
          <w:iCs w:val="false"/>
          <w:color w:val="E8E2D9"/>
          <w:sz w:val="20"/>
          <w:szCs w:val="20"/>
        </w:rPr>
        <w:t xml:space="preserve">All gaps identified in this matrix are known, planned for, and on the roadmap. No gap is a structural barrier to distribution. The following table summarises the remediation plan:</w:t>
      </w:r>
    </w:p>
    <w:p>
      <w:pPr>
        <w:spacing w:after="0" w:before="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000"/>
      </w:tblGrid>
      <w:tr>
        <w:trPr>
          <w:tblHeader/>
        </w:trPr>
        <w:tc>
          <w:tcPr>
            <w:tcW w:type="dxa" w:w="24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Gap</w:t>
            </w:r>
          </w:p>
        </w:tc>
        <w:tc>
          <w:tcPr>
            <w:tcW w:type="dxa" w:w="28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Remediation</w:t>
            </w:r>
          </w:p>
        </w:tc>
        <w:tc>
          <w:tcPr>
            <w:tcW w:type="dxa" w:w="24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Timeline</w:t>
            </w:r>
          </w:p>
        </w:tc>
        <w:tc>
          <w:tcPr>
            <w:tcW w:type="dxa" w:w="2000"/>
            <w:tcBorders>
              <w:top w:val="single" w:color="2A2A35" w:sz="1"/>
              <w:left w:val="single" w:color="2A2A35" w:sz="1"/>
              <w:bottom w:val="single" w:color="2A2A35" w:sz="1"/>
              <w:right w:val="single" w:color="2A2A35" w:sz="1"/>
            </w:tcBorders>
            <w:shd w:fill="C8A96E" w:val="clear"/>
            <w:tcMar>
              <w:top w:type="dxa" w:w="70"/>
              <w:left w:type="dxa" w:w="100"/>
              <w:bottom w:type="dxa" w:w="70"/>
              <w:right w:type="dxa" w:w="100"/>
            </w:tcMar>
          </w:tcPr>
          <w:p>
            <w:r>
              <w:rPr>
                <w:rFonts w:ascii="Arial" w:cs="Arial" w:eastAsia="Arial" w:hAnsi="Arial"/>
                <w:b/>
                <w:bCs/>
                <w:color w:val="0A0A0F"/>
                <w:sz w:val="17"/>
                <w:szCs w:val="17"/>
              </w:rPr>
              <w:t xml:space="preserve">Dependency</w:t>
            </w:r>
          </w:p>
        </w:tc>
      </w:tr>
      <w:tr>
        <w:tc>
          <w:tcPr>
            <w:tcW w:type="dxa" w:w="24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FAA legal opinion</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Formal opinion from SG counsel confirming platform’s regulatory position</w:t>
            </w:r>
          </w:p>
        </w:tc>
        <w:tc>
          <w:tcPr>
            <w:tcW w:type="dxa" w:w="24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Pre-institutional go-live</w:t>
            </w:r>
          </w:p>
        </w:tc>
        <w:tc>
          <w:tcPr>
            <w:tcW w:type="dxa" w:w="20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Legal counsel engagement</w:t>
            </w:r>
          </w:p>
        </w:tc>
      </w:tr>
      <w:tr>
        <w:tc>
          <w:tcPr>
            <w:tcW w:type="dxa" w:w="24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RBAC / access controls</w:t>
            </w:r>
          </w:p>
        </w:tc>
        <w:tc>
          <w:tcPr>
            <w:tcW w:type="dxa" w:w="2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RBAC implementation with role-based access and maker/checker workflow</w:t>
            </w:r>
          </w:p>
        </w:tc>
        <w:tc>
          <w:tcPr>
            <w:tcW w:type="dxa" w:w="24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Priority 1 engineering item</w:t>
            </w:r>
          </w:p>
        </w:tc>
        <w:tc>
          <w:tcPr>
            <w:tcW w:type="dxa" w:w="20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Engineering sprint</w:t>
            </w:r>
          </w:p>
        </w:tc>
      </w:tr>
      <w:tr>
        <w:tc>
          <w:tcPr>
            <w:tcW w:type="dxa" w:w="24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SOC 2 Type II</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Security audit engagement</w:t>
            </w:r>
          </w:p>
        </w:tc>
        <w:tc>
          <w:tcPr>
            <w:tcW w:type="dxa" w:w="24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Post-raise, within 12 months</w:t>
            </w:r>
          </w:p>
        </w:tc>
        <w:tc>
          <w:tcPr>
            <w:tcW w:type="dxa" w:w="20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Raise completion</w:t>
            </w:r>
          </w:p>
        </w:tc>
      </w:tr>
      <w:tr>
        <w:tc>
          <w:tcPr>
            <w:tcW w:type="dxa" w:w="24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Algorithmic trading governance</w:t>
            </w:r>
          </w:p>
        </w:tc>
        <w:tc>
          <w:tcPr>
            <w:tcW w:type="dxa" w:w="2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Full documentation of automated trading controls, oversight, and model governance</w:t>
            </w:r>
          </w:p>
        </w:tc>
        <w:tc>
          <w:tcPr>
            <w:tcW w:type="dxa" w:w="24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Pre-institutional go-live</w:t>
            </w:r>
          </w:p>
        </w:tc>
        <w:tc>
          <w:tcPr>
            <w:tcW w:type="dxa" w:w="20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Engineering and documentation</w:t>
            </w:r>
          </w:p>
        </w:tc>
      </w:tr>
      <w:tr>
        <w:tc>
          <w:tcPr>
            <w:tcW w:type="dxa" w:w="24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Suitability framework</w:t>
            </w:r>
          </w:p>
        </w:tc>
        <w:tc>
          <w:tcPr>
            <w:tcW w:type="dxa" w:w="28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Guidance document for licensed users on suitability assessment requirements</w:t>
            </w:r>
          </w:p>
        </w:tc>
        <w:tc>
          <w:tcPr>
            <w:tcW w:type="dxa" w:w="24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Pre-distribution</w:t>
            </w:r>
          </w:p>
        </w:tc>
        <w:tc>
          <w:tcPr>
            <w:tcW w:type="dxa" w:w="2000"/>
            <w:tcBorders>
              <w:top w:val="single" w:color="2A2A35" w:sz="1"/>
              <w:left w:val="single" w:color="2A2A35" w:sz="1"/>
              <w:bottom w:val="single" w:color="2A2A35" w:sz="1"/>
              <w:right w:val="single" w:color="2A2A35" w:sz="1"/>
            </w:tcBorders>
            <w:shd w:fill="111118" w:val="clear"/>
            <w:tcMar>
              <w:top w:type="dxa" w:w="60"/>
              <w:left w:type="dxa" w:w="100"/>
              <w:bottom w:type="dxa" w:w="60"/>
              <w:right w:type="dxa" w:w="100"/>
            </w:tcMar>
          </w:tcPr>
          <w:p>
            <w:r>
              <w:rPr>
                <w:rFonts w:ascii="Arial" w:cs="Arial" w:eastAsia="Arial" w:hAnsi="Arial"/>
                <w:color w:val="E8E2D9"/>
                <w:sz w:val="17"/>
                <w:szCs w:val="17"/>
              </w:rPr>
              <w:t xml:space="preserve">Legal counsel input</w:t>
            </w:r>
          </w:p>
        </w:tc>
      </w:tr>
      <w:tr>
        <w:tc>
          <w:tcPr>
            <w:tcW w:type="dxa" w:w="24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Operational resilience</w:t>
            </w:r>
          </w:p>
        </w:tc>
        <w:tc>
          <w:tcPr>
            <w:tcW w:type="dxa" w:w="28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Business continuity plan and formal RTO/RPO documentation</w:t>
            </w:r>
          </w:p>
        </w:tc>
        <w:tc>
          <w:tcPr>
            <w:tcW w:type="dxa" w:w="24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Within 60 days</w:t>
            </w:r>
          </w:p>
        </w:tc>
        <w:tc>
          <w:tcPr>
            <w:tcW w:type="dxa" w:w="2000"/>
            <w:tcBorders>
              <w:top w:val="single" w:color="2A2A35" w:sz="1"/>
              <w:left w:val="single" w:color="2A2A35" w:sz="1"/>
              <w:bottom w:val="single" w:color="2A2A35" w:sz="1"/>
              <w:right w:val="single" w:color="2A2A35" w:sz="1"/>
            </w:tcBorders>
            <w:shd w:fill="0A0A0F" w:val="clear"/>
            <w:tcMar>
              <w:top w:type="dxa" w:w="60"/>
              <w:left w:type="dxa" w:w="100"/>
              <w:bottom w:type="dxa" w:w="60"/>
              <w:right w:type="dxa" w:w="100"/>
            </w:tcMar>
          </w:tcPr>
          <w:p>
            <w:r>
              <w:rPr>
                <w:rFonts w:ascii="Arial" w:cs="Arial" w:eastAsia="Arial" w:hAnsi="Arial"/>
                <w:color w:val="E8E2D9"/>
                <w:sz w:val="17"/>
                <w:szCs w:val="17"/>
              </w:rPr>
              <w:t xml:space="preserve">Internal</w:t>
            </w:r>
          </w:p>
        </w:tc>
      </w:tr>
    </w:tbl>
    <w:p>
      <w:pPr>
        <w:spacing w:after="0" w:before="80"/>
      </w:pPr>
    </w:p>
    <w:p>
      <w:pPr>
        <w:spacing w:after="50" w:before="50" w:line="315" w:lineRule="auto"/>
      </w:pPr>
      <w:r>
        <w:rPr>
          <w:rFonts w:ascii="Arial" w:cs="Arial" w:eastAsia="Arial" w:hAnsi="Arial"/>
          <w:b w:val="false"/>
          <w:bCs w:val="false"/>
          <w:i w:val="false"/>
          <w:iCs w:val="false"/>
          <w:color w:val="E8E2D9"/>
          <w:sz w:val="20"/>
          <w:szCs w:val="20"/>
        </w:rPr>
        <w:t xml:space="preserve">None of the gaps identified represent structural barriers to distribution. The direct channel — boutique DPMs, EAMs, and family offices subscribing individually — can proceed under the current state. The institutional channel — custodian bank partnerships and white-label deployments — requires the RBAC, DPO designation, and MAS TRM documentation items to be completed before go-live. All are planned and on the roadmap.</w:t>
      </w:r>
    </w:p>
    <w:p>
      <w:pPr>
        <w:spacing w:after="0" w:before="120"/>
      </w:pPr>
    </w:p>
    <w:p>
      <w:pPr>
        <w:spacing w:after="0" w:before="80"/>
      </w:pPr>
    </w:p>
    <w:p>
      <w:pPr>
        <w:spacing w:after="0" w:before="0"/>
      </w:pPr>
      <w:r>
        <w:rPr>
          <w:rFonts w:ascii="Arial" w:cs="Arial" w:eastAsia="Arial" w:hAnsi="Arial"/>
          <w:color w:val="2A2A35"/>
          <w:sz w:val="17"/>
          <w:szCs w:val="17"/>
        </w:rPr>
        <w:t xml:space="preserve">InvestPuppy · investpuppy.com · contact@investpuppy.com · May 2026 · DRAFT</w:t>
      </w:r>
    </w:p>
    <w:sectPr>
      <w:headerReference w:type="default" r:id="rId7"/>
      <w:footerReference w:type="default" r:id="rId8"/>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2A35" w:sz="3" w:space="1"/>
      </w:pBdr>
      <w:tabs>
        <w:tab w:val="right" w:pos="8600"/>
      </w:tabs>
      <w:spacing w:after="0" w:before="120"/>
    </w:pPr>
    <w:r>
      <w:rPr>
        <w:rFonts w:ascii="Arial" w:cs="Arial" w:eastAsia="Arial" w:hAnsi="Arial"/>
        <w:i/>
        <w:iCs/>
        <w:color w:val="2A2A35"/>
        <w:sz w:val="14"/>
        <w:szCs w:val="14"/>
      </w:rPr>
      <w:t xml:space="preserve">Tier 3 · NDA Required · Draft — pending legal review</w:t>
    </w:r>
    <w:r>
      <w:rPr>
        <w:rFonts w:ascii="Arial" w:cs="Arial" w:eastAsia="Arial" w:hAnsi="Arial"/>
        <w:color w:val="2A2A35"/>
        <w:sz w:val="14"/>
        <w:szCs w:val="14"/>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E" w:sz="4" w:space="1"/>
      </w:pBdr>
      <w:tabs>
        <w:tab w:val="right" w:pos="8600"/>
      </w:tabs>
      <w:spacing w:after="120" w:before="0"/>
    </w:pPr>
    <w:r>
      <w:rPr>
        <w:rFonts w:ascii="Arial" w:cs="Arial" w:eastAsia="Arial" w:hAnsi="Arial"/>
        <w:b/>
        <w:bCs/>
        <w:color w:val="C8A96E"/>
        <w:sz w:val="15"/>
        <w:szCs w:val="15"/>
      </w:rPr>
      <w:t xml:space="preserve">Vektor · Regulatory Matrix · Singapore</w:t>
    </w:r>
    <w:r>
      <w:rPr>
        <w:rFonts w:ascii="Arial" w:cs="Arial" w:eastAsia="Arial" w:hAnsi="Arial"/>
        <w:color w:val="2A2A35"/>
        <w:sz w:val="14"/>
        <w:szCs w:val="14"/>
      </w:rPr>
      <w:t xml:space="preserve">	CONFIDENTIAL · NDA Recipients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8E2D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aps/>
      <w:color w:val="C8A96E"/>
      <w:sz w:val="24"/>
      <w:szCs w:val="24"/>
    </w:rPr>
  </w:style>
  <w:style w:type="paragraph" w:styleId="Heading2">
    <w:name w:val="Heading 2"/>
    <w:basedOn w:val="Normal"/>
    <w:next w:val="Normal"/>
    <w:qFormat/>
    <w:pPr>
      <w:spacing w:after="60" w:before="240"/>
      <w:outlineLvl w:val="1"/>
    </w:pPr>
    <w:rPr>
      <w:rFonts w:ascii="Arial" w:cs="Arial" w:eastAsia="Arial" w:hAnsi="Arial"/>
      <w:b/>
      <w:bCs/>
      <w:color w:val="E8E8E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2026-05-12T15:59:13.187Z</dcterms:created>
  <dcterms:modified xsi:type="dcterms:W3CDTF">2026-05-12T15:59:13.187Z</dcterms:modified>
</cp:coreProperties>
</file>

<file path=docProps/custom.xml><?xml version="1.0" encoding="utf-8"?>
<Properties xmlns="http://schemas.openxmlformats.org/officeDocument/2006/custom-properties" xmlns:vt="http://schemas.openxmlformats.org/officeDocument/2006/docPropsVTypes"/>
</file>