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50" w:before="0"/>
      </w:pPr>
      <w:r>
        <w:rPr>
          <w:rFonts w:ascii="Arial" w:cs="Arial" w:eastAsia="Arial" w:hAnsi="Arial"/>
          <w:b/>
          <w:bCs/>
          <w:caps/>
          <w:color w:val="1A3A5C"/>
          <w:sz w:val="15"/>
          <w:szCs w:val="15"/>
        </w:rPr>
        <w:t xml:space="preserve">INVESTPUPPY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Strategic Briefing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Founding team · May 2026 · Internal only</w:t>
      </w:r>
    </w:p>
    <w:p>
      <w:pPr>
        <w:pBdr>
          <w:bottom w:val="single" w:color="1A3A5C" w:sz="10" w:space="1"/>
        </w:pBdr>
        <w:spacing w:after="180" w:before="0"/>
      </w:pPr>
    </w:p>
    <w:p>
      <w:pPr>
        <w:pStyle w:val="Heading1"/>
        <w:pBdr>
          <w:bottom w:val="single" w:color="1A3A5C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1A3A5C"/>
          <w:sz w:val="24"/>
          <w:szCs w:val="24"/>
        </w:rPr>
        <w:t xml:space="preserve">Executive Summary</w:t>
      </w:r>
    </w:p>
    <w:p>
      <w:pPr>
        <w:spacing w:after="50" w:before="50" w:line="31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The platform works. Eleven research papers document the methodology. The commercial suite is distribution-ready. We have not executed a live trade and we have no revenue. The Founding Mandate conversation needs to begin now.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What has changed: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We have been positioning Vektor as a direct boutique subscription product. That positioning stays — it is the six-month commercial priority. What we were not using is the institutional credential we already hold. The CEO’s production OpenWealth API implementation on a Tier 1 PMS across three regions opens a second channel — custodian banks licensing Vektor to serve their EAM client bases — that is structurally larger and credible from the first conversation.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EAM is not new: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It is the existing direct target, named correctly. Accessible directly (channel one) and through custodian bank partnerships (channel two).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Funding ask: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Moves from S$1M–S$2M to S$2M–S$3M. Five-person team costs, institutional sales cycle runway (6–12 months to close), legal infrastructure for partnerships. The financial model still needs to be built.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Investor pack: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Two versions — public and NDA. Build the NDA version first. Three to five target investors identified before outreach.</w:t>
      </w:r>
    </w:p>
    <w:p>
      <w:pPr>
        <w:spacing w:after="0" w:before="10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AABCD4" w:sz="1"/>
              <w:left w:val="single" w:color="1A3A5C" w:sz="12"/>
              <w:bottom w:val="single" w:color="AABCD4" w:sz="1"/>
              <w:right w:val="single" w:color="AABCD4" w:sz="1"/>
            </w:tcBorders>
            <w:shd w:fill="F4F6F9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 channel: first revenue. Institutional channel: scale. Both run now.</w:t>
            </w:r>
          </w:p>
        </w:tc>
      </w:tr>
      <w:tr>
        <w:tc>
          <w:tcPr>
            <w:tcW w:type="dxa" w:w="8600"/>
            <w:tcBorders>
              <w:top w:val="single" w:color="AABCD4" w:sz="1"/>
              <w:left w:val="single" w:color="1A3A5C" w:sz="12"/>
              <w:bottom w:val="single" w:color="AABCD4" w:sz="1"/>
              <w:right w:val="single" w:color="AABCD4" w:sz="1"/>
            </w:tcBorders>
            <w:shd w:fill="F4F6F9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OpenWealth credential changes the institutional story from aspirational to credible.</w:t>
            </w:r>
          </w:p>
        </w:tc>
      </w:tr>
      <w:tr>
        <w:tc>
          <w:tcPr>
            <w:tcW w:type="dxa" w:w="8600"/>
            <w:tcBorders>
              <w:top w:val="single" w:color="AABCD4" w:sz="1"/>
              <w:left w:val="single" w:color="1A3A5C" w:sz="12"/>
              <w:bottom w:val="single" w:color="AABCD4" w:sz="1"/>
              <w:right w:val="single" w:color="AABCD4" w:sz="1"/>
            </w:tcBorders>
            <w:shd w:fill="F4F6F9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gaps are known, specific, and mostly a week’s work to close.</w:t>
            </w:r>
          </w:p>
        </w:tc>
      </w:tr>
      <w:tr>
        <w:tc>
          <w:tcPr>
            <w:tcW w:type="dxa" w:w="8600"/>
            <w:tcBorders>
              <w:top w:val="single" w:color="AABCD4" w:sz="1"/>
              <w:left w:val="single" w:color="1A3A5C" w:sz="12"/>
              <w:bottom w:val="single" w:color="AABCD4" w:sz="1"/>
              <w:right w:val="single" w:color="AABCD4" w:sz="1"/>
            </w:tcBorders>
            <w:shd w:fill="F4F6F9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 the first Founding Mandate conversation.</w:t>
            </w:r>
          </w:p>
        </w:tc>
      </w:tr>
    </w:tbl>
    <w:p>
      <w:pPr>
        <w:pStyle w:val="Heading1"/>
        <w:pBdr>
          <w:bottom w:val="single" w:color="1A3A5C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1A3A5C"/>
          <w:sz w:val="24"/>
          <w:szCs w:val="24"/>
        </w:rPr>
        <w:t xml:space="preserve">1 · Product Roadmap</w:t>
      </w: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Non-negotiable — before first live client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RBAC and maker/checker.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Nothing goes live without it.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Valuation history / NAV snapshots.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Specified. Ready to implement. Blocks client reporting and retention.</w:t>
      </w:r>
    </w:p>
    <w:p>
      <w:pPr>
        <w:spacing w:after="0" w:before="60"/>
      </w:pP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Promoted to near-top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OpenWealth read API.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Weeks, not months. Closes valuation history gap, enables institutional due diligence, opens family office PMS connectivity. One build, three problems solved.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OpenAPI specification.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First document an institutional buyer asks for. Draft in parallel with the build. Prerequisite: Vektor-to-OpenWealth schema mapping (half a day).</w:t>
      </w:r>
    </w:p>
    <w:p>
      <w:pPr>
        <w:spacing w:after="0" w:before="60"/>
      </w:pP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After first Founding Mandate is live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Walk-forward validation — required for institutional procurement and investment committee scrutiny.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Client reporting portal — follows valuation history.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Order flow integration with named institutional OMS — pilot with one partner, not built generically.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External custodian connectivity beyond IBKR.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Short selling / hedging — opens absolute return mandates.</w:t>
      </w:r>
    </w:p>
    <w:p>
      <w:pPr>
        <w:spacing w:after="0" w:before="60"/>
      </w:pP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Parked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Managed service.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Commercial logic is real. Operational risk at current scale would destroy the reputation before it’s earned. Revisit after three live clients, a support function, and regulatory clearance on whether managed allocation output constitutes investment advice under MAS rules. Not before.</w:t>
      </w:r>
    </w:p>
    <w:p>
      <w:pPr>
        <w:pStyle w:val="Heading1"/>
        <w:pBdr>
          <w:bottom w:val="single" w:color="1A3A5C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1A3A5C"/>
          <w:sz w:val="24"/>
          <w:szCs w:val="24"/>
        </w:rPr>
        <w:t xml:space="preserve">2 · Commercial Go-to-Market</w:t>
      </w: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Three channels</w:t>
      </w:r>
    </w:p>
    <w:p>
      <w:pPr>
        <w:spacing w:after="0" w:before="6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Boutique DPMs, EAMs (direct), family offices. Founding Mandate first. Founder-led. Revenue in 3–6 months. Priority #1.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Custodian banks licensing Vektor for EAM client bases. White-label model — bank is the commercial relationship. CEO-led. 6–12 month close. Switzerland is the near-term European entry point: FINMA compliance demand and OpenWealth custodian adoption are both established. Institutional BD hire follows first deal — not before.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OpenWealth community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Positioning channel. Relationships exist. Activates at public launch.</w:t>
            </w:r>
          </w:p>
        </w:tc>
      </w:tr>
    </w:tbl>
    <w:p>
      <w:pPr>
        <w:spacing w:after="0" w:before="140"/>
      </w:pP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Three documents that don’t exist yet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OpenWealth integration brief.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One to two pages. For the technology buyer at a custodian bank.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EAM proposition document.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Adapted from the existing suite. Compliance and audit trail as the regulatory response story, not just an operational feature.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Custodian bank partner brief.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For COOs and heads of EAM services. Commercial structure and data governance position included.</w:t>
      </w:r>
    </w:p>
    <w:p>
      <w:pPr>
        <w:spacing w:after="0" w:before="60"/>
      </w:pP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Stealth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Credentials disclosed under NDA to investors and institutional prospects.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All public materials state: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“Founding team backgrounds available under confidentiality agreement.” Confident, not apologetic.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Discreet introductions to named contacts, at the team’s judgment, are available and should be used selectively.</w:t>
      </w:r>
    </w:p>
    <w:p>
      <w:pPr>
        <w:pStyle w:val="Heading1"/>
        <w:pBdr>
          <w:bottom w:val="single" w:color="1A3A5C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1A3A5C"/>
          <w:sz w:val="24"/>
          <w:szCs w:val="24"/>
        </w:rPr>
        <w:t xml:space="preserve">3 · Investor Pitch</w:t>
      </w: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team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Founders — CEO and CTO: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Equal ownership. Equal voice. A decade of working together successfully. Neither could have done this without the other. Ten years of evidence pre-empts every co-founder conflict concern an investor will raise.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Pre-launch team — three collaborators: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Decades of shared experience with one or both founders, in exactly this space. Not assembled for credentials. Formed in practice over careers.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What binds all five: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“There has to be a better way.” Not a tagline. The origin.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Technical differentiator: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CEO’s production OpenWealth API implementation on a Tier 1 PMS across Europe, Middle East, and Asia Pacific. Disclosed under NDA. Post-launch it is the opening credential for every institutional conversation.</w:t>
      </w:r>
    </w:p>
    <w:p>
      <w:pPr>
        <w:spacing w:after="0" w:before="80"/>
      </w:pP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Pitch sequence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problem.</w:t>
      </w:r>
      <w:r>
        <w:rPr>
          <w:rFonts w:ascii="Arial" w:cs="Arial" w:eastAsia="Arial" w:hAnsi="Arial"/>
          <w:b w:val="false"/>
          <w:bCs w:val="false"/>
          <w:color w:val="3A3A3A"/>
          <w:sz w:val="20"/>
          <w:szCs w:val="20"/>
        </w:rPr>
        <w:t xml:space="preserve"> Boutique wealth professionals. Institutional complexity. Non-institutional tools.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solution.</w:t>
      </w:r>
      <w:r>
        <w:rPr>
          <w:rFonts w:ascii="Arial" w:cs="Arial" w:eastAsia="Arial" w:hAnsi="Arial"/>
          <w:b w:val="false"/>
          <w:bCs w:val="false"/>
          <w:color w:val="3A3A3A"/>
          <w:sz w:val="20"/>
          <w:szCs w:val="20"/>
        </w:rPr>
        <w:t xml:space="preserve"> Vektor. Working today. Eleven papers. No live track record — stated honestly. The Founding Mandate is how we build it together.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team.</w:t>
      </w:r>
      <w:r>
        <w:rPr>
          <w:rFonts w:ascii="Arial" w:cs="Arial" w:eastAsia="Arial" w:hAnsi="Arial"/>
          <w:b w:val="false"/>
          <w:bCs w:val="false"/>
          <w:color w:val="3A3A3A"/>
          <w:sz w:val="20"/>
          <w:szCs w:val="20"/>
        </w:rPr>
        <w:t xml:space="preserve"> Two founders, ten years, equal partnership. Pre-launch team of three with decades of shared experience. All five arrived at the same conviction independently.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institutional channel.</w:t>
      </w:r>
      <w:r>
        <w:rPr>
          <w:rFonts w:ascii="Arial" w:cs="Arial" w:eastAsia="Arial" w:hAnsi="Arial"/>
          <w:b w:val="false"/>
          <w:bCs w:val="false"/>
          <w:color w:val="3A3A3A"/>
          <w:sz w:val="20"/>
          <w:szCs w:val="20"/>
        </w:rPr>
        <w:t xml:space="preserve"> OpenWealth API. Custodian bank licensing. EAM distribution. CEO built the Tier 1 integration. Credible before the first meeting ends.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ask.</w:t>
      </w:r>
      <w:r>
        <w:rPr>
          <w:rFonts w:ascii="Arial" w:cs="Arial" w:eastAsia="Arial" w:hAnsi="Arial"/>
          <w:b w:val="false"/>
          <w:bCs w:val="false"/>
          <w:color w:val="3A3A3A"/>
          <w:sz w:val="20"/>
          <w:szCs w:val="20"/>
        </w:rPr>
        <w:t xml:space="preserve"> S$2M–S$3M. Specific use of funds. 18–24 months across both channel timelines.</w:t>
      </w:r>
    </w:p>
    <w:p>
      <w:pPr>
        <w:spacing w:after="0" w:before="80"/>
      </w:pP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Family offices — two roles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Target client: single-family offices with systematic equity mandates are among the most immediately accessible prospects. Unvarnished series distribution to family office principals should be deliberate, not passive.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Target investor: family offices and fintech-experienced angels are the right investor profile for a quiet S$2M–S$3M raise compatible with stealth constraints.</w:t>
      </w:r>
    </w:p>
    <w:p>
      <w:pPr>
        <w:spacing w:after="0" w:before="80"/>
      </w:pP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NDA version first: full team disclosure, credentials, employer context, cap table, institutional pipeline.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Public version second: product, market, traction. No founder names.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Both versions built before the first investor conversation.</w:t>
      </w:r>
    </w:p>
    <w:p>
      <w:pPr>
        <w:pStyle w:val="Heading1"/>
        <w:pBdr>
          <w:bottom w:val="single" w:color="1A3A5C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1A3A5C"/>
          <w:sz w:val="24"/>
          <w:szCs w:val="24"/>
        </w:rPr>
        <w:t xml:space="preserve">4 · Revenue Model</w:t>
      </w: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Direct channel — base case</w:t>
      </w:r>
    </w:p>
    <w:p>
      <w:pPr>
        <w:spacing w:after="0" w:before="6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ACV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S$18,000 (FM year 1) → S$168,000+ (Enterprise)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Year 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3–5 clients. S$80K–S$200K ARR.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Year 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8–15 clients. S$250K–S$600K ARR.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Three scenarios: base / upside / downside.</w:t>
            </w:r>
          </w:p>
        </w:tc>
      </w:tr>
    </w:tbl>
    <w:p>
      <w:pPr>
        <w:spacing w:after="0" w:before="120"/>
      </w:pP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Institutional channel — upside scenario</w:t>
      </w:r>
    </w:p>
    <w:p>
      <w:pPr>
        <w:spacing w:after="0" w:before="6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ACV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15–30x a direct subscription per deal. Commercial model (platform fee + per-mandate) defined before first custodian conversation.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Timeline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12–18 months minimum. Model it late.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Single clearly-labelled upside. Not contracted.</w:t>
            </w:r>
          </w:p>
        </w:tc>
      </w:tr>
    </w:tbl>
    <w:p>
      <w:pPr>
        <w:spacing w:after="0" w:before="120"/>
      </w:pPr>
    </w:p>
    <w:p>
      <w:pPr>
        <w:pStyle w:val="Heading2"/>
        <w:spacing w:after="40" w:before="2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ask: S$2M–S$3M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Five-person team costs.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Model five-person burn. Not two.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Institutional runway extension.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Direct channel self-funds at six months. Institutional channel closes at twelve months minimum. The gap needs covering.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Legal infrastructure.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 White-label terms, data governance, SLAs. One-time.</w:t>
      </w:r>
    </w:p>
    <w:p>
      <w:pPr>
        <w:spacing w:after="0" w:before="60"/>
      </w:pPr>
    </w:p>
    <w:p>
      <w:pPr>
        <w:spacing w:after="50" w:before="50" w:line="31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Valuation basis: S$6M–S$10M pre-money is defensible. At S$2.5M raised, that is 20–28% dilution. Standard at seed.</w:t>
      </w:r>
    </w:p>
    <w:p>
      <w:pPr>
        <w:pStyle w:val="Heading1"/>
        <w:pBdr>
          <w:bottom w:val="single" w:color="1A3A5C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1A3A5C"/>
          <w:sz w:val="24"/>
          <w:szCs w:val="24"/>
        </w:rPr>
        <w:t xml:space="preserve">5 · Actions — In Order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Add NDA line to all public materials.</w:t>
      </w:r>
      <w:r>
        <w:rPr>
          <w:rFonts w:ascii="Arial" w:cs="Arial" w:eastAsia="Arial" w:hAnsi="Arial"/>
          <w:b w:val="false"/>
          <w:bCs w:val="false"/>
          <w:color w:val="3A3A3A"/>
          <w:sz w:val="20"/>
          <w:szCs w:val="20"/>
        </w:rPr>
        <w:t xml:space="preserve"> One sentence. Do it today.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Vektor-to-OpenWealth schema mapping.</w:t>
      </w:r>
      <w:r>
        <w:rPr>
          <w:rFonts w:ascii="Arial" w:cs="Arial" w:eastAsia="Arial" w:hAnsi="Arial"/>
          <w:b w:val="false"/>
          <w:bCs w:val="false"/>
          <w:color w:val="3A3A3A"/>
          <w:sz w:val="20"/>
          <w:szCs w:val="20"/>
        </w:rPr>
        <w:t xml:space="preserve"> Half a day. First institutional due diligence artefact and guide for the API build.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Begin OpenAPI specification draft</w:t>
      </w:r>
      <w:r>
        <w:rPr>
          <w:rFonts w:ascii="Arial" w:cs="Arial" w:eastAsia="Arial" w:hAnsi="Arial"/>
          <w:b w:val="false"/>
          <w:bCs w:val="false"/>
          <w:color w:val="3A3A3A"/>
          <w:sz w:val="20"/>
          <w:szCs w:val="20"/>
        </w:rPr>
        <w:t xml:space="preserve"> in parallel with read API build.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Build the financial model.</w:t>
      </w:r>
      <w:r>
        <w:rPr>
          <w:rFonts w:ascii="Arial" w:cs="Arial" w:eastAsia="Arial" w:hAnsi="Arial"/>
          <w:b w:val="false"/>
          <w:bCs w:val="false"/>
          <w:color w:val="3A3A3A"/>
          <w:sz w:val="20"/>
          <w:szCs w:val="20"/>
        </w:rPr>
        <w:t xml:space="preserve"> Five-person costs. Direct base case (three scenarios). Institutional upside. The funding ask follows from the model.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Write P1 — brand story document.</w:t>
      </w:r>
      <w:r>
        <w:rPr>
          <w:rFonts w:ascii="Arial" w:cs="Arial" w:eastAsia="Arial" w:hAnsi="Arial"/>
          <w:b w:val="false"/>
          <w:bCs w:val="false"/>
          <w:color w:val="3A3A3A"/>
          <w:sz w:val="20"/>
          <w:szCs w:val="20"/>
        </w:rPr>
        <w:t xml:space="preserve"> Start from the truth. Not the five-gap brief.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Identify one custodian bank contact. Have the conversation.</w:t>
      </w:r>
      <w:r>
        <w:rPr>
          <w:rFonts w:ascii="Arial" w:cs="Arial" w:eastAsia="Arial" w:hAnsi="Arial"/>
          <w:b w:val="false"/>
          <w:bCs w:val="false"/>
          <w:color w:val="3A3A3A"/>
          <w:sz w:val="20"/>
          <w:szCs w:val="20"/>
        </w:rPr>
        <w:t xml:space="preserve"> Before the documentation is finished.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Build the investor pack.</w:t>
      </w:r>
      <w:r>
        <w:rPr>
          <w:rFonts w:ascii="Arial" w:cs="Arial" w:eastAsia="Arial" w:hAnsi="Arial"/>
          <w:b w:val="false"/>
          <w:bCs w:val="false"/>
          <w:color w:val="3A3A3A"/>
          <w:sz w:val="20"/>
          <w:szCs w:val="20"/>
        </w:rPr>
        <w:t xml:space="preserve"> NDA version first. Three to five target investors identified before outreach begins.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Start the first Founding Mandate conversation.</w:t>
      </w:r>
      <w:r>
        <w:rPr>
          <w:rFonts w:ascii="Arial" w:cs="Arial" w:eastAsia="Arial" w:hAnsi="Arial"/>
          <w:b w:val="false"/>
          <w:bCs w:val="false"/>
          <w:color w:val="3A3A3A"/>
          <w:sz w:val="20"/>
          <w:szCs w:val="20"/>
        </w:rPr>
        <w:t xml:space="preserve"> The suite is ready. This is overdue.</w:t>
      </w:r>
    </w:p>
    <w:p>
      <w:pPr>
        <w:spacing w:after="0" w:before="220"/>
      </w:pPr>
    </w:p>
    <w:p>
      <w:pPr>
        <w:pBdr>
          <w:bottom w:val="single" w:color="1A3A5C" w:sz="6" w:space="1"/>
        </w:pBdr>
        <w:spacing w:after="180" w:before="0"/>
      </w:pP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i/>
          <w:iCs/>
          <w:color w:val="1A1A1A"/>
          <w:sz w:val="21"/>
          <w:szCs w:val="21"/>
        </w:rPr>
        <w:t xml:space="preserve">Honest by design. Serious when it matters. There has to be a better way — and we built one.</w:t>
      </w:r>
    </w:p>
    <w:sectPr>
      <w:headerReference w:type="default" r:id="rId7"/>
      <w:footerReference w:type="default" r:id="rId8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1"/>
      </w:pBdr>
      <w:tabs>
        <w:tab w:val="right" w:pos="8600"/>
      </w:tabs>
      <w:spacing w:after="0" w:before="120"/>
    </w:pPr>
    <w:r>
      <w:rPr>
        <w:rFonts w:ascii="Arial" w:cs="Arial" w:eastAsia="Arial" w:hAnsi="Arial"/>
        <w:i/>
        <w:iCs/>
        <w:color w:val="CCCCCC"/>
        <w:sz w:val="14"/>
        <w:szCs w:val="14"/>
      </w:rPr>
      <w:t xml:space="preserve">Founding team and close advisors only</w:t>
    </w:r>
    <w:r>
      <w:rPr>
        <w:rFonts w:ascii="Arial" w:cs="Arial" w:eastAsia="Arial" w:hAnsi="Arial"/>
        <w:color w:val="CCCCCC"/>
        <w:sz w:val="14"/>
        <w:szCs w:val="14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  <w:tabs>
        <w:tab w:val="right" w:pos="8600"/>
      </w:tabs>
      <w:spacing w:after="120" w:before="0"/>
    </w:pPr>
    <w:r>
      <w:rPr>
        <w:rFonts w:ascii="Arial" w:cs="Arial" w:eastAsia="Arial" w:hAnsi="Arial"/>
        <w:b/>
        <w:bCs/>
        <w:color w:val="1A3A5C"/>
        <w:sz w:val="15"/>
        <w:szCs w:val="15"/>
      </w:rPr>
      <w:t xml:space="preserve">InvestPuppy · Strategic Briefing</w:t>
    </w:r>
    <w:r>
      <w:rPr>
        <w:rFonts w:ascii="Arial" w:cs="Arial" w:eastAsia="Arial" w:hAnsi="Arial"/>
        <w:color w:val="CCCCCC"/>
        <w:sz w:val="14"/>
        <w:szCs w:val="14"/>
      </w:rPr>
      <w:t xml:space="preserve">	Internal · Not for distribution ·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aps/>
      <w:color w:val="1A3A5C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40" w:before="220"/>
      <w:outlineLvl w:val="1"/>
    </w:pPr>
    <w:rPr>
      <w:rFonts w:ascii="Arial" w:cs="Arial" w:eastAsia="Arial" w:hAnsi="Arial"/>
      <w:b/>
      <w:bCs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2026-05-12T15:59:52.018Z</dcterms:created>
  <dcterms:modified xsi:type="dcterms:W3CDTF">2026-05-12T15:59:52.019Z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