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1A3A5C"/>
          <w:sz w:val="15"/>
          <w:szCs w:val="15"/>
        </w:rPr>
        <w:t xml:space="preserve">INVESTPUPPY</w:t>
      </w:r>
    </w:p>
    <w:p>
      <w:pPr>
        <w:spacing w:after="80" w:before="0"/>
      </w:pPr>
      <w:r>
        <w:rPr>
          <w:rFonts w:ascii="Arial" w:cs="Arial" w:eastAsia="Arial" w:hAnsi="Arial"/>
          <w:b/>
          <w:bCs/>
          <w:color w:val="1A1A1A"/>
          <w:sz w:val="40"/>
          <w:szCs w:val="40"/>
        </w:rPr>
        <w:t xml:space="preserve">Website Changes Required</w:t>
      </w:r>
    </w:p>
    <w:p>
      <w:pPr>
        <w:spacing w:after="0" w:before="0"/>
      </w:pPr>
      <w:r>
        <w:rPr>
          <w:rFonts w:ascii="Arial" w:cs="Arial" w:eastAsia="Arial" w:hAnsi="Arial"/>
          <w:color w:val="555555"/>
          <w:sz w:val="17"/>
          <w:szCs w:val="17"/>
        </w:rPr>
        <w:t xml:space="preserve">Internal reference · May 2026</w:t>
      </w:r>
    </w:p>
    <w:p>
      <w:pPr>
        <w:pBdr>
          <w:bottom w:val="single" w:color="1A3A5C" w:sz="10" w:space="1"/>
        </w:pBdr>
        <w:spacing w:after="180" w:before="0"/>
      </w:pPr>
    </w:p>
    <w:p>
      <w:pPr>
        <w:spacing w:after="0" w:before="60"/>
      </w:pPr>
    </w:p>
    <w:p>
      <w:pPr>
        <w:spacing w:after="50" w:before="50" w:line="315" w:lineRule="auto"/>
      </w:pPr>
      <w:r>
        <w:rPr>
          <w:rFonts w:ascii="Arial" w:cs="Arial" w:eastAsia="Arial" w:hAnsi="Arial"/>
          <w:b w:val="false"/>
          <w:bCs w:val="false"/>
          <w:i/>
          <w:iCs/>
          <w:color w:val="3A3A3A"/>
          <w:sz w:val="20"/>
          <w:szCs w:val="20"/>
        </w:rPr>
        <w:t xml:space="preserve">This document records all required changes to the InvestPuppy website, ordered by urgency. It covers immediate configuration changes, content additions, page updates, and the scope of the planned Webflow rebuild. Status reflects the position as at May 2026.</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1A3A5C" w:sz="12"/>
              <w:bottom w:val="single" w:color="AABCD4" w:sz="1"/>
              <w:right w:val="single" w:color="AABCD4" w:sz="1"/>
            </w:tcBorders>
            <w:shd w:fill="F4F6F9"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DONE: Change has been made and output is in the outputs folder ready for deployment.</w:t>
            </w:r>
          </w:p>
        </w:tc>
      </w:tr>
      <w:tr>
        <w:tc>
          <w:tcPr>
            <w:tcW w:type="dxa" w:w="8600"/>
            <w:tcBorders>
              <w:top w:val="single" w:color="AABCD4" w:sz="1"/>
              <w:left w:val="single" w:color="1A3A5C" w:sz="12"/>
              <w:bottom w:val="single" w:color="AABCD4" w:sz="1"/>
              <w:right w:val="single" w:color="AABCD4" w:sz="1"/>
            </w:tcBorders>
            <w:shd w:fill="F4F6F9"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PENDING: Task is defined, not yet executed. Can be done without platform development.</w:t>
            </w:r>
          </w:p>
        </w:tc>
      </w:tr>
      <w:tr>
        <w:tc>
          <w:tcPr>
            <w:tcW w:type="dxa" w:w="8600"/>
            <w:tcBorders>
              <w:top w:val="single" w:color="AABCD4" w:sz="1"/>
              <w:left w:val="single" w:color="1A3A5C" w:sz="12"/>
              <w:bottom w:val="single" w:color="AABCD4" w:sz="1"/>
              <w:right w:val="single" w:color="AABCD4" w:sz="1"/>
            </w:tcBorders>
            <w:shd w:fill="F4F6F9"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PLANNED: Confirmed for the Webflow rebuild. Not required on current HTML site.</w:t>
            </w:r>
          </w:p>
        </w:tc>
      </w:tr>
      <w:tr>
        <w:tc>
          <w:tcPr>
            <w:tcW w:type="dxa" w:w="8600"/>
            <w:tcBorders>
              <w:top w:val="single" w:color="AABCD4" w:sz="1"/>
              <w:left w:val="single" w:color="1A3A5C" w:sz="12"/>
              <w:bottom w:val="single" w:color="AABCD4" w:sz="1"/>
              <w:right w:val="single" w:color="AABCD4" w:sz="1"/>
            </w:tcBorders>
            <w:shd w:fill="F4F6F9"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BLOCKED: Requires a dependency to be resolved first.</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1 · Immediate — File System Changes</w:t>
      </w:r>
    </w:p>
    <w:p>
      <w:pPr>
        <w:spacing w:after="50" w:before="50" w:line="315" w:lineRule="auto"/>
      </w:pPr>
      <w:r>
        <w:rPr>
          <w:rFonts w:ascii="Arial" w:cs="Arial" w:eastAsia="Arial" w:hAnsi="Arial"/>
          <w:b w:val="false"/>
          <w:bCs w:val="false"/>
          <w:i w:val="false"/>
          <w:iCs w:val="false"/>
          <w:color w:val="3A3A3A"/>
          <w:sz w:val="20"/>
          <w:szCs w:val="20"/>
        </w:rPr>
        <w:t xml:space="preserve">These are infrastructure changes that must happen before any new documents are deployed. They do not touch HTML content — they are folder renames and deploy script updates.</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Detail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Status</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Rename ungated/ → public/</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Rename website/assets/docs/ungated/ to website/assets/docs/public/ in the repository. All tier 1 document paths change from /assets/docs/ungated/ to /assets/docs/public/.</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Rename gated/ → qualified/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Rename website/assets/docs/gated/ to website/assets/docs/qualified/ in the repository. All tier 2 document paths change from /assets/docs/gated/ to /assets/docs/qualified/.</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Update all HTML path references</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Find and replace all instances of /assets/docs/ungated/ and /assets/docs/gated/ across all HTML pages. Five pages contain these paths: documents.html, index.html, research.html, unvarnished.html, and any others with direct document links.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Update deploy.sh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Update deploy script: (1) rename source and destination folder references, (2) add explicit tier3 exclusion guard so no file in any tier3/ folder or investor/ folder is ever deployed, (3) add institutional/output/tier2/ to the qualified deploy path.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Create tier3 exclusion in deploy.sh</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Add commented guard: # CRITICAL: never deploy tier3 content. Then add explicit exclusion: ensure no files from vektor/output/tier3/, institutional/output/tier3/, investor/output/tier3/, brand/output/tier3/, or distribution/ are included in any deploy.</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2 · Immediate — Content Additions</w:t>
      </w:r>
    </w:p>
    <w:p>
      <w:pPr>
        <w:spacing w:after="50" w:before="50" w:line="315" w:lineRule="auto"/>
      </w:pPr>
      <w:r>
        <w:rPr>
          <w:rFonts w:ascii="Arial" w:cs="Arial" w:eastAsia="Arial" w:hAnsi="Arial"/>
          <w:b w:val="false"/>
          <w:bCs w:val="false"/>
          <w:i w:val="false"/>
          <w:iCs w:val="false"/>
          <w:color w:val="3A3A3A"/>
          <w:sz w:val="20"/>
          <w:szCs w:val="20"/>
        </w:rPr>
        <w:t xml:space="preserve">New PDF files that need to be built from the source documents and placed in the correct website asset folders. documents.html has already been updated to reference these paths — the files just need to exist.</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Detail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Status</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ip-brand-story.pdf → assets/docs/public/</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Build ip-brand-story.docx to PDF. Place in website/assets/docs/public/. Referenced in documents.html Start Here, Quick-Send, and Why Vektor tabs.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ip-openwealth-integration-brief.pdf → assets/docs/qualified/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Build ip-openwealth-integration-brief.docx to PDF. Place in website/assets/docs/qualified/. Referenced in documents.html Institutional tab behind registration.</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ip-eam-proposition.pdf → assets/docs/qualified/</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Build ip-eam-proposition.docx to PDF. Place in website/assets/docs/qualified/. Referenced in documents.html Institutional tab behind registration.</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vk5-founding-mandate-programme.pdf → assets/docs/qualified/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Build vk5-founding-mandate-programme.docx to PDF. Place in website/assets/docs/qualified/. Currently in vektor/word/ but not deployed. Referenced in documents.html Founding Mandate tab.</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vk5-workflow-integration-guide.pdf → assets/docs/qualified/</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Build vk5-workflow-integration-guide.docx to PDF. Place in website/assets/docs/qualified/. Currently in vektor/word/ but not deployed. Referenced in documents.html Platform tab.</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vk5-faq.pdf → assets/docs/qualified/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Build vk5-faq.docx to PDF. Place in website/assets/docs/qualified/. Currently in vektor/word/ but not deployed. Referenced in documents.html Founding Mandate tab.</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3 · Immediate — HTML Page Updates</w:t>
      </w:r>
    </w:p>
    <w:p>
      <w:pPr>
        <w:spacing w:after="50" w:before="50" w:line="315" w:lineRule="auto"/>
      </w:pPr>
      <w:r>
        <w:rPr>
          <w:rFonts w:ascii="Arial" w:cs="Arial" w:eastAsia="Arial" w:hAnsi="Arial"/>
          <w:b w:val="false"/>
          <w:bCs w:val="false"/>
          <w:i w:val="false"/>
          <w:iCs w:val="false"/>
          <w:color w:val="3A3A3A"/>
          <w:sz w:val="20"/>
          <w:szCs w:val="20"/>
        </w:rPr>
        <w:t xml:space="preserve">pages/documents.html has been fully updated and is in the outputs folder. The following other pages require targeted updates.</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Detail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Status</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documents.html — replace entirely</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Updated version is in outputs/documents.html. Replace the current file with this version. Changes: three-tier description in hero, paths renamed, brand story added, institutional tab added, FAQ and workflow guide added to mandate tab, NDA entry fixed to direct request.</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DONE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story.html — add brand story link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The /story page should reference the brand story document. Add a download link for ip-brand-story.pdf to the story page. Exact placement depends on current story page content.</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index.html — review document links</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Check if index.html contains any direct links to /assets/docs/ungated/ or /assets/docs/gated/ paths that need updating to /public/ and /qualified/.</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research.html — review document links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Check research.html for any direct document path references that need updating.</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unvarnished.html — review document links</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Check unvarnished.html. All UNV paper paths change from /assets/docs/ungated/ to /assets/docs/public/.</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All pages — add NDA line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All public-facing pages and documents should include or link to the statement: 'Founding team backgrounds available under confidentiality agreement.' Ensure this appears on the founding-mandate.html page at minimum.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4 · Near-Term — Additional Content</w:t>
      </w:r>
    </w:p>
    <w:p>
      <w:pPr>
        <w:spacing w:after="50" w:before="50" w:line="315" w:lineRule="auto"/>
      </w:pPr>
      <w:r>
        <w:rPr>
          <w:rFonts w:ascii="Arial" w:cs="Arial" w:eastAsia="Arial" w:hAnsi="Arial"/>
          <w:b w:val="false"/>
          <w:bCs w:val="false"/>
          <w:i w:val="false"/>
          <w:iCs w:val="false"/>
          <w:color w:val="3A3A3A"/>
          <w:sz w:val="20"/>
          <w:szCs w:val="20"/>
        </w:rPr>
        <w:t xml:space="preserve">These items are not yet drafted or not yet ready, but need to be created and deployed within the next 60 days.</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Detail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Status</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ip-brand-story.pdf — build final version</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The brand story docx has been built. Needs review and sign-off before PDF generation and deployment to /assets/docs/public/.</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Multi-market examples in documentation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All tier 1 and tier 2 documents referencing SGX only should be updated to include SIX, LSE, and NYSE references. Documents have been updated in this round. PDFs need rebuilding from updated docx sources.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Thank-you / registration page</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The /thank-you.html page currently handles all registration gating. Confirm the registration form captures: name, organisation, role, AUM band. This data drives the qualified tier lead list.</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Investor enquiry flow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The investor CTA on documents.html links to a mailto. Consider whether a structured form would improve qualification. Not blocking — mailto is functional.</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5 · Webflow Rebuild Scope</w:t>
      </w:r>
    </w:p>
    <w:p>
      <w:pPr>
        <w:spacing w:after="50" w:before="50" w:line="315" w:lineRule="auto"/>
      </w:pPr>
      <w:r>
        <w:rPr>
          <w:rFonts w:ascii="Arial" w:cs="Arial" w:eastAsia="Arial" w:hAnsi="Arial"/>
          <w:b w:val="false"/>
          <w:bCs w:val="false"/>
          <w:i w:val="false"/>
          <w:iCs w:val="false"/>
          <w:color w:val="3A3A3A"/>
          <w:sz w:val="20"/>
          <w:szCs w:val="20"/>
        </w:rPr>
        <w:t xml:space="preserve">The Webflow rebuild (IP-WEB-SPEC-260510-3.0) is a separate project from the immediate HTML patches above. This section records what the rebuild must incorporate from the changes made in this document cycle.</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Task</w:t>
            </w:r>
          </w:p>
        </w:tc>
        <w:tc>
          <w:tcPr>
            <w:tcW w:type="dxa" w:w="4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Detail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7"/>
                <w:szCs w:val="17"/>
              </w:rPr>
              <w:t xml:space="preserve">Status</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Three-tier document architecture</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The Webflow rebuild must implement the three-tier system natively: tier 1 (ungated), tier 2 (registration-gated), tier 3 (NDA, not on website). The documents page rebuild should reflect this structure visually and functionally.</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Institutional tab on documents page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The new 07 Institutional tab added to documents.html must be carried into the Webflow design. It contains EAM and OpenWealth documents at tier 2 and NDA-on-request entries for tier 3 documents.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/unvarnished page (9th page)</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Spec v3.0 adds /unvarnished as a new page. All nine UNV papers should be listed with download links from /assets/docs/public/.</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Navigation — 5 items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Spec v3.0 navigation: Platform · Why Vektor · What We Are Not · Unvarnished · Founding Mandate.</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Unvarnished band on home page</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Spec v3.0 adds an Unvarnished series band on the home page.</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7"/>
                <w:szCs w:val="17"/>
              </w:rPr>
              <w:t xml:space="preserve">Brand story on /story page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A3A3A"/>
                <w:sz w:val="17"/>
                <w:szCs w:val="17"/>
              </w:rPr>
              <w:t xml:space="preserve">The /story page should feature the brand story content and link to the ip-brand-story.pdf download.</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A3A5C"/>
                <w:sz w:val="17"/>
                <w:szCs w:val="17"/>
              </w:rPr>
              <w:t xml:space="preserve">PLANNED</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b/>
                <w:bCs/>
                <w:color w:val="1A1A1A"/>
                <w:sz w:val="17"/>
                <w:szCs w:val="17"/>
              </w:rPr>
              <w:t xml:space="preserve">GoDaddy — cannot execute v3.0 design</w:t>
            </w:r>
          </w:p>
        </w:tc>
        <w:tc>
          <w:tcPr>
            <w:tcW w:type="dxa" w:w="4000"/>
            <w:tcBorders>
              <w:top w:val="single" w:color="CCCCCC" w:sz="1"/>
              <w:left w:val="single" w:color="CCCCCC" w:sz="1"/>
              <w:bottom w:val="single" w:color="CCCCCC" w:sz="1"/>
              <w:right w:val="single" w:color="CCCCCC" w:sz="1"/>
            </w:tcBorders>
            <w:shd w:fill="F4F6F9" w:val="clear"/>
            <w:tcMar>
              <w:top w:type="dxa" w:w="60"/>
              <w:left w:type="dxa" w:w="110"/>
              <w:bottom w:type="dxa" w:w="60"/>
              <w:right w:type="dxa" w:w="110"/>
            </w:tcMar>
          </w:tcPr>
          <w:p>
            <w:r>
              <w:rPr>
                <w:rFonts w:ascii="Arial" w:cs="Arial" w:eastAsia="Arial" w:hAnsi="Arial"/>
                <w:color w:val="3A3A3A"/>
                <w:sz w:val="17"/>
                <w:szCs w:val="17"/>
              </w:rPr>
              <w:t xml:space="preserve">Current GoDaddy hosting cannot execute the v3.0 visual design. Webflow is the recommended platform. Migration required before v3.0 can be deployed.</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7"/>
                <w:szCs w:val="17"/>
              </w:rPr>
              <w:t xml:space="preserve">BLOCKED</w:t>
            </w:r>
          </w:p>
        </w:tc>
      </w:tr>
    </w:tbl>
    <w:p>
      <w:pPr>
        <w:spacing w:after="0" w:before="120"/>
      </w:pPr>
    </w:p>
    <w:p>
      <w:pPr>
        <w:pStyle w:val="Heading1"/>
        <w:pBdr>
          <w:bottom w:val="single" w:color="1A3A5C" w:sz="3" w:space="4"/>
        </w:pBdr>
        <w:spacing w:after="80" w:before="360"/>
      </w:pPr>
      <w:r>
        <w:rPr>
          <w:rFonts w:ascii="Arial" w:cs="Arial" w:eastAsia="Arial" w:hAnsi="Arial"/>
          <w:b/>
          <w:bCs/>
          <w:caps/>
          <w:color w:val="1A3A5C"/>
          <w:sz w:val="24"/>
          <w:szCs w:val="24"/>
        </w:rPr>
        <w:t xml:space="preserve">6 · What Is Not On The Website — By Design</w:t>
      </w:r>
    </w:p>
    <w:p>
      <w:pPr>
        <w:spacing w:after="50" w:before="50" w:line="315" w:lineRule="auto"/>
      </w:pPr>
      <w:r>
        <w:rPr>
          <w:rFonts w:ascii="Arial" w:cs="Arial" w:eastAsia="Arial" w:hAnsi="Arial"/>
          <w:b w:val="false"/>
          <w:bCs w:val="false"/>
          <w:i w:val="false"/>
          <w:iCs w:val="false"/>
          <w:color w:val="3A3A3A"/>
          <w:sz w:val="20"/>
          <w:szCs w:val="20"/>
        </w:rPr>
        <w:t xml:space="preserve">These items should never appear on the website in any form. This section documents the intentional exclusions for clarity.</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b/>
                <w:bCs/>
                <w:color w:val="1A1A1A"/>
                <w:sz w:val="18"/>
                <w:szCs w:val="18"/>
              </w:rPr>
              <w:t xml:space="preserve">ip-founder-story</w:t>
            </w:r>
          </w:p>
        </w:tc>
        <w:tc>
          <w:tcPr>
            <w:tcW w:type="dxa" w:w="6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color w:val="3A3A3A"/>
                <w:sz w:val="18"/>
                <w:szCs w:val="18"/>
              </w:rPr>
              <w:t xml:space="preserve">Tier 3. Contains founding team credentials under stealth constraints. NDA only. Distributed directly by the founding team.</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18"/>
                <w:szCs w:val="18"/>
              </w:rPr>
              <w:t xml:space="preserve">ip-custodian-bank-brief</w:t>
            </w:r>
          </w:p>
        </w:tc>
        <w:tc>
          <w:tcPr>
            <w:tcW w:type="dxa" w:w="6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A3A3A"/>
                <w:sz w:val="18"/>
                <w:szCs w:val="18"/>
              </w:rPr>
              <w:t xml:space="preserve">Tier 3. Institutional commercial model and data governance position. NDA only.</w:t>
            </w:r>
          </w:p>
        </w:tc>
      </w:tr>
      <w:tr>
        <w:tc>
          <w:tcPr>
            <w:tcW w:type="dxa" w:w="2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b/>
                <w:bCs/>
                <w:color w:val="1A1A1A"/>
                <w:sz w:val="18"/>
                <w:szCs w:val="18"/>
              </w:rPr>
              <w:t xml:space="preserve">ip-implementation-methodology</w:t>
            </w:r>
          </w:p>
        </w:tc>
        <w:tc>
          <w:tcPr>
            <w:tcW w:type="dxa" w:w="6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color w:val="3A3A3A"/>
                <w:sz w:val="18"/>
                <w:szCs w:val="18"/>
              </w:rPr>
              <w:t xml:space="preserve">Tier 3. Implementation methodology detail. NDA only.</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18"/>
                <w:szCs w:val="18"/>
              </w:rPr>
              <w:t xml:space="preserve">ip-regulatory-matrix-sg</w:t>
            </w:r>
          </w:p>
        </w:tc>
        <w:tc>
          <w:tcPr>
            <w:tcW w:type="dxa" w:w="6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A3A3A"/>
                <w:sz w:val="18"/>
                <w:szCs w:val="18"/>
              </w:rPr>
              <w:t xml:space="preserve">Tier 3. Singapore regulatory compliance assessment. NDA only. Draft — pending counsel review.</w:t>
            </w:r>
          </w:p>
        </w:tc>
      </w:tr>
      <w:tr>
        <w:tc>
          <w:tcPr>
            <w:tcW w:type="dxa" w:w="2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b/>
                <w:bCs/>
                <w:color w:val="1A1A1A"/>
                <w:sz w:val="18"/>
                <w:szCs w:val="18"/>
              </w:rPr>
              <w:t xml:space="preserve">ip-regulatory-matrix-ch</w:t>
            </w:r>
          </w:p>
        </w:tc>
        <w:tc>
          <w:tcPr>
            <w:tcW w:type="dxa" w:w="6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color w:val="3A3A3A"/>
                <w:sz w:val="18"/>
                <w:szCs w:val="18"/>
              </w:rPr>
              <w:t xml:space="preserve">Tier 3. Switzerland regulatory compliance assessment. NDA only. Draft — pending counsel review.</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18"/>
                <w:szCs w:val="18"/>
              </w:rPr>
              <w:t xml:space="preserve">Investor pack</w:t>
            </w:r>
          </w:p>
        </w:tc>
        <w:tc>
          <w:tcPr>
            <w:tcW w:type="dxa" w:w="6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A3A3A"/>
                <w:sz w:val="18"/>
                <w:szCs w:val="18"/>
              </w:rPr>
              <w:t xml:space="preserve">Tier 3. Deck, memo, model, one-pager. NDA only. Never accessible via website.</w:t>
            </w:r>
          </w:p>
        </w:tc>
      </w:tr>
      <w:tr>
        <w:tc>
          <w:tcPr>
            <w:tcW w:type="dxa" w:w="2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b/>
                <w:bCs/>
                <w:color w:val="1A1A1A"/>
                <w:sz w:val="18"/>
                <w:szCs w:val="18"/>
              </w:rPr>
              <w:t xml:space="preserve">vk5-mutual-nda</w:t>
            </w:r>
          </w:p>
        </w:tc>
        <w:tc>
          <w:tcPr>
            <w:tcW w:type="dxa" w:w="6300"/>
            <w:tcBorders>
              <w:top w:val="single" w:color="CCCCCC" w:sz="1"/>
              <w:left w:val="single" w:color="CCCCCC" w:sz="1"/>
              <w:bottom w:val="single" w:color="CCCCCC" w:sz="1"/>
              <w:right w:val="single" w:color="CCCCCC" w:sz="1"/>
            </w:tcBorders>
            <w:shd w:fill="F4F6F9" w:val="clear"/>
            <w:tcMar>
              <w:top w:type="dxa" w:w="70"/>
              <w:left w:type="dxa" w:w="110"/>
              <w:bottom w:type="dxa" w:w="70"/>
              <w:right w:type="dxa" w:w="110"/>
            </w:tcMar>
          </w:tcPr>
          <w:p>
            <w:r>
              <w:rPr>
                <w:rFonts w:ascii="Arial" w:cs="Arial" w:eastAsia="Arial" w:hAnsi="Arial"/>
                <w:color w:val="3A3A3A"/>
                <w:sz w:val="18"/>
                <w:szCs w:val="18"/>
              </w:rPr>
              <w:t xml:space="preserve">Distribution folder only. Not on website. Available on direct email request within 24 hours.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1A1A"/>
                <w:sz w:val="18"/>
                <w:szCs w:val="18"/>
              </w:rPr>
              <w:t xml:space="preserve">Internal documents</w:t>
            </w:r>
          </w:p>
        </w:tc>
        <w:tc>
          <w:tcPr>
            <w:tcW w:type="dxa" w:w="6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A3A3A"/>
                <w:sz w:val="18"/>
                <w:szCs w:val="18"/>
              </w:rPr>
              <w:t xml:space="preserve">Strategic briefing paper, OUTSTANDING.md, PARKED.md, PANELS.md, HANDOFF.md. Internal only. Never distributed.</w:t>
            </w:r>
          </w:p>
        </w:tc>
      </w:tr>
    </w:tbl>
    <w:p>
      <w:pPr>
        <w:spacing w:after="0" w:before="120"/>
      </w:pPr>
    </w:p>
    <w:p>
      <w:pPr>
        <w:pBdr>
          <w:bottom w:val="single" w:color="1A3A5C" w:sz="6" w:space="1"/>
        </w:pBdr>
        <w:spacing w:after="180" w:before="0"/>
      </w:pPr>
    </w:p>
    <w:p>
      <w:pPr>
        <w:spacing w:after="0" w:before="80"/>
      </w:pPr>
    </w:p>
    <w:p>
      <w:pPr>
        <w:spacing w:after="0" w:before="0"/>
      </w:pPr>
      <w:r>
        <w:rPr>
          <w:rFonts w:ascii="Arial" w:cs="Arial" w:eastAsia="Arial" w:hAnsi="Arial"/>
          <w:color w:val="CCCCCC"/>
          <w:sz w:val="17"/>
          <w:szCs w:val="17"/>
        </w:rPr>
        <w:t xml:space="preserve">InvestPuppy · investpuppy.com · Internal reference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8600"/>
      </w:tabs>
      <w:spacing w:after="0" w:before="120"/>
    </w:pPr>
    <w:r>
      <w:rPr>
        <w:rFonts w:ascii="Arial" w:cs="Arial" w:eastAsia="Arial" w:hAnsi="Arial"/>
        <w:i/>
        <w:iCs/>
        <w:color w:val="CCCCCC"/>
        <w:sz w:val="14"/>
        <w:szCs w:val="14"/>
      </w:rPr>
      <w:t xml:space="preserve">Internal reference · Not for distribution</w:t>
    </w:r>
    <w:r>
      <w:rPr>
        <w:rFonts w:ascii="Arial" w:cs="Arial" w:eastAsia="Arial" w:hAnsi="Arial"/>
        <w:color w:val="CCCCCC"/>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8600"/>
      </w:tabs>
      <w:spacing w:after="120" w:before="0"/>
    </w:pPr>
    <w:r>
      <w:rPr>
        <w:rFonts w:ascii="Arial" w:cs="Arial" w:eastAsia="Arial" w:hAnsi="Arial"/>
        <w:b/>
        <w:bCs/>
        <w:color w:val="1A3A5C"/>
        <w:sz w:val="15"/>
        <w:szCs w:val="15"/>
      </w:rPr>
      <w:t xml:space="preserve">InvestPuppy · Website Changes Required</w:t>
    </w:r>
    <w:r>
      <w:rPr>
        <w:rFonts w:ascii="Arial" w:cs="Arial" w:eastAsia="Arial" w:hAnsi="Arial"/>
        <w:color w:val="CCCCCC"/>
        <w:sz w:val="14"/>
        <w:szCs w:val="14"/>
      </w:rPr>
      <w:t xml:space="preserve">	Internal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1A3A5C"/>
      <w:sz w:val="24"/>
      <w:szCs w:val="24"/>
    </w:rPr>
  </w:style>
  <w:style w:type="paragraph" w:styleId="Heading2">
    <w:name w:val="Heading 2"/>
    <w:basedOn w:val="Normal"/>
    <w:next w:val="Normal"/>
    <w:qFormat/>
    <w:pPr>
      <w:spacing w:after="60" w:before="240"/>
      <w:outlineLvl w:val="1"/>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2026-05-12T10:30:31.173Z</dcterms:created>
  <dcterms:modified xsi:type="dcterms:W3CDTF">2026-05-12T10:30:31.191Z</dcterms:modified>
</cp:coreProperties>
</file>

<file path=docProps/custom.xml><?xml version="1.0" encoding="utf-8"?>
<Properties xmlns="http://schemas.openxmlformats.org/officeDocument/2006/custom-properties" xmlns:vt="http://schemas.openxmlformats.org/officeDocument/2006/docPropsVTypes"/>
</file>