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PLATFORM OVERVIEW  ·  2026</w:t>
      </w:r>
    </w:p>
    <w:p>
      <w:pPr>
        <w:spacing w:after="120" w:before="0"/>
      </w:pPr>
      <w:r>
        <w:rPr>
          <w:rFonts w:ascii="Arial" w:cs="Arial" w:eastAsia="Arial" w:hAnsi="Arial"/>
          <w:b/>
          <w:bCs/>
          <w:color w:val="1A1A1F"/>
          <w:sz w:val="52"/>
          <w:szCs w:val="52"/>
        </w:rPr>
        <w:t xml:space="preserve">One Platform. Any Market. Every Step.</w:t>
      </w:r>
    </w:p>
    <w:p>
      <w:pPr>
        <w:spacing w:after="240" w:before="0"/>
      </w:pPr>
      <w:r>
        <w:rPr>
          <w:rFonts w:ascii="Arial" w:cs="Arial" w:eastAsia="Arial" w:hAnsi="Arial"/>
          <w:i/>
          <w:iCs/>
          <w:color w:val="9A9086"/>
          <w:sz w:val="22"/>
          <w:szCs w:val="22"/>
        </w:rPr>
        <w:t xml:space="preserve">The complete eleven-step workflow — from stock screening to funded, trade-ready positions. Systematic, auditable, data-driven.</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For professional and institutional investors only</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THE PLATFORM</w:t>
      </w:r>
    </w:p>
    <w:p>
      <w:pPr>
        <w:pStyle w:val="Heading1"/>
        <w:spacing w:after="120" w:before="0"/>
      </w:pPr>
      <w:r>
        <w:rPr>
          <w:rFonts w:ascii="Arial" w:cs="Arial" w:eastAsia="Arial" w:hAnsi="Arial"/>
          <w:b/>
          <w:bCs/>
          <w:color w:val="1A1A1F"/>
          <w:sz w:val="40"/>
          <w:szCs w:val="40"/>
        </w:rPr>
        <w:t xml:space="preserve">Rigour at every step.</w:t>
      </w:r>
    </w:p>
    <w:p>
      <w:pPr>
        <w:spacing w:after="120" w:before="0"/>
        <w:jc w:val="both"/>
      </w:pPr>
      <w:r>
        <w:rPr>
          <w:rFonts w:ascii="Arial" w:cs="Arial" w:eastAsia="Arial" w:hAnsi="Arial"/>
          <w:b w:val="false"/>
          <w:bCs w:val="false"/>
          <w:i w:val="false"/>
          <w:iCs w:val="false"/>
          <w:color w:val="1A1A1F"/>
          <w:sz w:val="20"/>
          <w:szCs w:val="20"/>
        </w:rPr>
        <w:t>The eleven steps documented here are not aspirational. They describe what the platform does today — on your data, at live prices, for any listed equity market you configure. Vektor coordinates three roles — Stock Analyst, Portfolio Manager, and Operations — through a single admin portal. Each has a defined scope. Every action is logged. Nothing falls through the cracks.</w:t>
      </w:r>
    </w:p>
    <w:p>
      <w:pPr>
        <w:pStyle w:val="ListParagraph"/>
        <w:numPr>
          <w:ilvl w:val="0"/>
          <w:numId w:val="2"/>
        </w:numPr>
        <w:spacing w:after="60" w:before="0"/>
      </w:pPr>
      <w:r>
        <w:rPr>
          <w:rFonts w:ascii="Arial" w:cs="Arial" w:eastAsia="Arial" w:hAnsi="Arial"/>
          <w:color w:val="1A1A1F"/>
          <w:sz w:val="20"/>
          <w:szCs w:val="20"/>
        </w:rPr>
        <w:t xml:space="preserve">Stock Analyst — Screens the universe, runs optimisation, selects per-instrument signals.</w:t>
      </w:r>
    </w:p>
    <w:p>
      <w:pPr>
        <w:pStyle w:val="ListParagraph"/>
        <w:numPr>
          <w:ilvl w:val="0"/>
          <w:numId w:val="2"/>
        </w:numPr>
        <w:spacing w:after="60" w:before="0"/>
      </w:pPr>
      <w:r>
        <w:rPr>
          <w:rFonts w:ascii="Arial" w:cs="Arial" w:eastAsia="Arial" w:hAnsi="Arial"/>
          <w:color w:val="1A1A1F"/>
          <w:sz w:val="20"/>
          <w:szCs w:val="20"/>
        </w:rPr>
        <w:t xml:space="preserve">Portfolio Manager — Reviews strategy, onboards clients, allocates capital.</w:t>
      </w:r>
    </w:p>
    <w:p>
      <w:pPr>
        <w:pStyle w:val="ListParagraph"/>
        <w:numPr>
          <w:ilvl w:val="0"/>
          <w:numId w:val="2"/>
        </w:numPr>
        <w:spacing w:after="60" w:before="0"/>
      </w:pPr>
      <w:r>
        <w:rPr>
          <w:rFonts w:ascii="Arial" w:cs="Arial" w:eastAsia="Arial" w:hAnsi="Arial"/>
          <w:color w:val="1A1A1F"/>
          <w:sz w:val="20"/>
          <w:szCs w:val="20"/>
        </w:rPr>
        <w:t xml:space="preserve">Operations — Funds accounts, maintains the full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Result: a quantitatively constructed, genuinely diversified, compliance-ready portfolio — from first meeting to funded positions — in a fraction of the time.</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10,000</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99.94%</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6</w:t>
            </w:r>
          </w:p>
        </w:tc>
        <w:tc>
          <w:tcPr>
            <w:tcW w:type="dxa" w:w="2409"/>
            <w:tcBorders>
              <w:top w:val="none"/>
              <w:left w:val="single" w:color="2A2828" w:sz="4"/>
              <w:bottom w:val="none"/>
              <w:right w:val="none"/>
            </w:tcBorders>
            <w:shd w:fill="0A0A0F" w:val="clear"/>
            <w:tcMar>
              <w:top w:type="dxa" w:w="120"/>
              <w:left w:type="dxa" w:w="120"/>
              <w:bottom w:type="dxa" w:w="60"/>
              <w:right w:type="dxa" w:w="120"/>
            </w:tcMar>
          </w:tcPr>
          <w:p>
            <w:pPr>
              <w:jc w:val="center"/>
            </w:pPr>
            <w:r>
              <w:rPr>
                <w:rFonts w:ascii="Arial" w:cs="Arial" w:eastAsia="Arial" w:hAnsi="Arial"/>
                <w:b/>
                <w:bCs/>
                <w:color w:val="C8A96E"/>
                <w:sz w:val="44"/>
                <w:szCs w:val="44"/>
              </w:rPr>
              <w:t xml:space="preserve">3 yrs</w:t>
            </w:r>
          </w:p>
        </w:tc>
      </w:tr>
      <w:tr>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simulations per strategy</w:t>
            </w:r>
          </w:p>
          <w:p>
            <w:pPr>
              <w:jc w:val="center"/>
            </w:pPr>
            <w:r>
              <w:rPr>
                <w:rFonts w:ascii="Arial" w:cs="Arial" w:eastAsia="Arial" w:hAnsi="Arial"/>
                <w:color w:val="9A9086"/>
                <w:sz w:val="14"/>
                <w:szCs w:val="14"/>
              </w:rPr>
              <w:t xml:space="preserve">Efficient frontier mapped across 10,000 portfolio configurations. MPT selects max-Sharpe.</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capital allocation efficiency</w:t>
            </w:r>
          </w:p>
          <w:p>
            <w:pPr>
              <w:jc w:val="center"/>
            </w:pPr>
            <w:r>
              <w:rPr>
                <w:rFonts w:ascii="Arial" w:cs="Arial" w:eastAsia="Arial" w:hAnsi="Arial"/>
                <w:color w:val="9A9086"/>
                <w:sz w:val="14"/>
                <w:szCs w:val="14"/>
              </w:rPr>
              <w:t xml:space="preserve">Of target allocation deployed.</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signals per instrument</w:t>
            </w:r>
          </w:p>
          <w:p>
            <w:pPr>
              <w:jc w:val="center"/>
            </w:pPr>
            <w:r>
              <w:rPr>
                <w:rFonts w:ascii="Arial" w:cs="Arial" w:eastAsia="Arial" w:hAnsi="Arial"/>
                <w:color w:val="9A9086"/>
                <w:sz w:val="14"/>
                <w:szCs w:val="14"/>
              </w:rPr>
              <w:t xml:space="preserve">Indicators evaluated per stock, 3 years.</w:t>
            </w:r>
          </w:p>
        </w:tc>
        <w:tc>
          <w:tcPr>
            <w:tcW w:type="dxa" w:w="2409"/>
            <w:tcBorders>
              <w:top w:val="none"/>
              <w:left w:val="single" w:color="2A2828" w:sz="4"/>
              <w:bottom w:val="none"/>
              <w:right w:val="none"/>
            </w:tcBorders>
            <w:shd w:fill="0A0A0F" w:val="clear"/>
            <w:tcMar>
              <w:top w:type="dxa" w:w="0"/>
              <w:left w:type="dxa" w:w="120"/>
              <w:bottom w:type="dxa" w:w="80"/>
              <w:right w:type="dxa" w:w="120"/>
            </w:tcMar>
          </w:tcPr>
          <w:p>
            <w:pPr>
              <w:jc w:val="center"/>
            </w:pPr>
            <w:r>
              <w:rPr>
                <w:rFonts w:ascii="Arial" w:cs="Arial" w:eastAsia="Arial" w:hAnsi="Arial"/>
                <w:b/>
                <w:bCs/>
                <w:color w:val="E8E8EC"/>
                <w:sz w:val="16"/>
                <w:szCs w:val="16"/>
              </w:rPr>
              <w:t xml:space="preserve">daily data, refreshed daily</w:t>
            </w:r>
          </w:p>
          <w:p>
            <w:pPr>
              <w:jc w:val="center"/>
            </w:pPr>
            <w:r>
              <w:rPr>
                <w:rFonts w:ascii="Arial" w:cs="Arial" w:eastAsia="Arial" w:hAnsi="Arial"/>
                <w:color w:val="9A9086"/>
                <w:sz w:val="14"/>
                <w:szCs w:val="14"/>
              </w:rPr>
              <w:t xml:space="preserve">Current signals, not stale history.</w:t>
            </w:r>
          </w:p>
        </w:tc>
      </w:tr>
    </w:tbl>
    <w:p>
      <w:pPr>
        <w:spacing w:after="0" w:before="120"/>
      </w:pPr>
      <w:r>
        <w:t xml:space="preserve"/>
      </w:r>
    </w:p>
    <w:p>
      <w:pPr>
        <w:spacing w:after="120" w:before="0"/>
        <w:jc w:val="both"/>
      </w:pPr>
      <w:r>
        <w:rPr>
          <w:rFonts w:ascii="Arial" w:cs="Arial" w:eastAsia="Arial" w:hAnsi="Arial"/>
          <w:b w:val="false"/>
          <w:bCs w:val="false"/>
          <w:i w:val="false"/>
          <w:iCs w:val="false"/>
          <w:color w:val="9A9086"/>
          <w:sz w:val="20"/>
          <w:szCs w:val="20"/>
        </w:rPr>
        <w:t xml:space="preserve">The example throughout this document uses a Singapore equity mandate (SGX, SGD). The platform is market-agnostic: configure your exchange, benchmark, currency, and lot sizes — and the engine does the rest.</w:t>
      </w:r>
    </w:p>
    <w:p>
      <w:pPr>
        <w:pageBreakBefore/>
      </w:pPr>
      <w:r>
        <w:t xml:space="preserve"/>
      </w:r>
    </w:p>
    <w:p>
      <w:pPr>
        <w:spacing w:after="60" w:before="160"/>
      </w:pPr>
      <w:r>
        <w:rPr>
          <w:rFonts w:ascii="Arial" w:cs="Arial" w:eastAsia="Arial" w:hAnsi="Arial"/>
          <w:b/>
          <w:bCs/>
          <w:color w:val="C8A96E"/>
          <w:spacing w:val="80"/>
          <w:sz w:val="14"/>
          <w:szCs w:val="14"/>
        </w:rPr>
        <w:t xml:space="preserve">ELEVEN-STEP WORKFLOW</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01  </w:t>
      </w:r>
      <w:r>
        <w:rPr>
          <w:rFonts w:ascii="Arial" w:cs="Arial" w:eastAsia="Arial" w:hAnsi="Arial"/>
          <w:color w:val="9A9086"/>
          <w:sz w:val="16"/>
          <w:szCs w:val="16"/>
        </w:rPr>
        <w:t xml:space="preserve">·  Stock Analyst</w:t>
      </w:r>
    </w:p>
    <w:p>
      <w:pPr>
        <w:spacing w:after="80" w:before="0"/>
      </w:pPr>
      <w:r>
        <w:rPr>
          <w:rFonts w:ascii="Arial" w:cs="Arial" w:eastAsia="Arial" w:hAnsi="Arial"/>
          <w:b/>
          <w:bCs/>
          <w:color w:val="1A1A1F"/>
          <w:sz w:val="26"/>
          <w:szCs w:val="26"/>
        </w:rPr>
        <w:t xml:space="preserve">Screen the Universe</w:t>
      </w:r>
    </w:p>
    <w:p>
      <w:pPr>
        <w:spacing w:after="120" w:before="0"/>
        <w:jc w:val="both"/>
      </w:pPr>
      <w:r>
        <w:rPr>
          <w:rFonts w:ascii="Arial" w:cs="Arial" w:eastAsia="Arial" w:hAnsi="Arial"/>
          <w:b w:val="false"/>
          <w:bCs w:val="false"/>
          <w:i w:val="false"/>
          <w:iCs w:val="false"/>
          <w:color w:val="1A1A1F"/>
          <w:sz w:val="20"/>
          <w:szCs w:val="20"/>
        </w:rPr>
        <w:t xml:space="preserve">Vektor's research workbench screens any listed equity universe by sector, daily liquidity, and dividend continuity — turning thousands of candidates into a clean, implementation-ready set. Singapore example: ~700 SGX-listed stocks filtered by sector (financials, real estate, industrials), average daily volume &gt;100K, and dividend continuity.</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02  </w:t>
      </w:r>
      <w:r>
        <w:rPr>
          <w:rFonts w:ascii="Arial" w:cs="Arial" w:eastAsia="Arial" w:hAnsi="Arial"/>
          <w:color w:val="9A9086"/>
          <w:sz w:val="16"/>
          <w:szCs w:val="16"/>
        </w:rPr>
        <w:t xml:space="preserve">·  Stock Analyst</w:t>
      </w:r>
    </w:p>
    <w:p>
      <w:pPr>
        <w:spacing w:after="80" w:before="0"/>
      </w:pPr>
      <w:r>
        <w:rPr>
          <w:rFonts w:ascii="Arial" w:cs="Arial" w:eastAsia="Arial" w:hAnsi="Arial"/>
          <w:b/>
          <w:bCs/>
          <w:color w:val="1A1A1F"/>
          <w:sz w:val="26"/>
          <w:szCs w:val="26"/>
        </w:rPr>
        <w:t xml:space="preserve">Optimise the Portfolio</w:t>
      </w:r>
    </w:p>
    <w:p>
      <w:pPr>
        <w:spacing w:after="120" w:before="0"/>
        <w:jc w:val="both"/>
      </w:pPr>
      <w:r>
        <w:rPr>
          <w:rFonts w:ascii="Arial" w:cs="Arial" w:eastAsia="Arial" w:hAnsi="Arial"/>
          <w:b w:val="false"/>
          <w:bCs w:val="false"/>
          <w:i w:val="false"/>
          <w:iCs w:val="false"/>
          <w:color w:val="1A1A1F"/>
          <w:sz w:val="20"/>
          <w:szCs w:val="20"/>
        </w:rPr>
        <w:t xml:space="preserve">The system generates 10,000 portfolio configurations to map the efficient frontier, then applies Modern Portfolio Theory to identify the max-Sharpe allocation — the combination of stocks and weights that maximises risk-adjusted return.</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03  </w:t>
      </w:r>
      <w:r>
        <w:rPr>
          <w:rFonts w:ascii="Arial" w:cs="Arial" w:eastAsia="Arial" w:hAnsi="Arial"/>
          <w:color w:val="9A9086"/>
          <w:sz w:val="16"/>
          <w:szCs w:val="16"/>
        </w:rPr>
        <w:t xml:space="preserve">·  Stock Analyst</w:t>
      </w:r>
    </w:p>
    <w:p>
      <w:pPr>
        <w:spacing w:after="80" w:before="0"/>
      </w:pPr>
      <w:r>
        <w:rPr>
          <w:rFonts w:ascii="Arial" w:cs="Arial" w:eastAsia="Arial" w:hAnsi="Arial"/>
          <w:b/>
          <w:bCs/>
          <w:color w:val="1A1A1F"/>
          <w:sz w:val="26"/>
          <w:szCs w:val="26"/>
        </w:rPr>
        <w:t xml:space="preserve">Validate Diversification</w:t>
      </w:r>
    </w:p>
    <w:p>
      <w:pPr>
        <w:spacing w:after="120" w:before="0"/>
        <w:jc w:val="both"/>
      </w:pPr>
      <w:r>
        <w:rPr>
          <w:rFonts w:ascii="Arial" w:cs="Arial" w:eastAsia="Arial" w:hAnsi="Arial"/>
          <w:b w:val="false"/>
          <w:bCs w:val="false"/>
          <w:i w:val="false"/>
          <w:iCs w:val="false"/>
          <w:color w:val="1A1A1F"/>
          <w:sz w:val="20"/>
          <w:szCs w:val="20"/>
        </w:rPr>
        <w:t xml:space="preserve">A correlation heatmap confirms the portfolio is genuinely diversified — not just spread across names that move in lockstep. Strategy weights are then locked in.</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04  </w:t>
      </w:r>
      <w:r>
        <w:rPr>
          <w:rFonts w:ascii="Arial" w:cs="Arial" w:eastAsia="Arial" w:hAnsi="Arial"/>
          <w:color w:val="9A9086"/>
          <w:sz w:val="16"/>
          <w:szCs w:val="16"/>
        </w:rPr>
        <w:t xml:space="preserve">·  Automated</w:t>
      </w:r>
    </w:p>
    <w:p>
      <w:pPr>
        <w:spacing w:after="80" w:before="0"/>
      </w:pPr>
      <w:r>
        <w:rPr>
          <w:rFonts w:ascii="Arial" w:cs="Arial" w:eastAsia="Arial" w:hAnsi="Arial"/>
          <w:b/>
          <w:bCs/>
          <w:color w:val="1A1A1F"/>
          <w:sz w:val="26"/>
          <w:szCs w:val="26"/>
        </w:rPr>
        <w:t xml:space="preserve">Per-Stock Signal Selection</w:t>
      </w:r>
    </w:p>
    <w:p>
      <w:pPr>
        <w:spacing w:after="120" w:before="0"/>
        <w:jc w:val="both"/>
      </w:pPr>
      <w:r>
        <w:rPr>
          <w:rFonts w:ascii="Arial" w:cs="Arial" w:eastAsia="Arial" w:hAnsi="Arial"/>
          <w:b w:val="false"/>
          <w:bCs w:val="false"/>
          <w:i w:val="false"/>
          <w:iCs w:val="false"/>
          <w:color w:val="1A1A1F"/>
          <w:sz w:val="20"/>
          <w:szCs w:val="20"/>
        </w:rPr>
        <w:t xml:space="preserve">An automated step function backtests six technical indicators — SMA, EMA, MACD, Bollinger Bands, RSI, Stochastic Oscillator — against three years of each stock's price history. The configuration with the highest Sharpe ratio wins. An XGBoost layer validates every live signal before execution. Two layers of rigour. Zero guesswork.</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05  </w:t>
      </w:r>
      <w:r>
        <w:rPr>
          <w:rFonts w:ascii="Arial" w:cs="Arial" w:eastAsia="Arial" w:hAnsi="Arial"/>
          <w:color w:val="9A9086"/>
          <w:sz w:val="16"/>
          <w:szCs w:val="16"/>
        </w:rPr>
        <w:t xml:space="preserve">·  Portfolio Manager</w:t>
      </w:r>
    </w:p>
    <w:p>
      <w:pPr>
        <w:spacing w:after="80" w:before="0"/>
      </w:pPr>
      <w:r>
        <w:rPr>
          <w:rFonts w:ascii="Arial" w:cs="Arial" w:eastAsia="Arial" w:hAnsi="Arial"/>
          <w:b/>
          <w:bCs/>
          <w:color w:val="1A1A1F"/>
          <w:sz w:val="26"/>
          <w:szCs w:val="26"/>
        </w:rPr>
        <w:t xml:space="preserve">Strategy Review</w:t>
      </w:r>
    </w:p>
    <w:p>
      <w:pPr>
        <w:spacing w:after="120" w:before="0"/>
        <w:jc w:val="both"/>
      </w:pPr>
      <w:r>
        <w:rPr>
          <w:rFonts w:ascii="Arial" w:cs="Arial" w:eastAsia="Arial" w:hAnsi="Arial"/>
          <w:b w:val="false"/>
          <w:bCs w:val="false"/>
          <w:i w:val="false"/>
          <w:iCs w:val="false"/>
          <w:color w:val="1A1A1F"/>
          <w:sz w:val="20"/>
          <w:szCs w:val="20"/>
        </w:rPr>
        <w:t xml:space="preserve">The portfolio manager reviews everything in the admin portal: instruments, weights, indicators, and backtest Sharpe ratios — before the strategy is approved. No black boxes. No surprises at execution.</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06  </w:t>
      </w:r>
      <w:r>
        <w:rPr>
          <w:rFonts w:ascii="Arial" w:cs="Arial" w:eastAsia="Arial" w:hAnsi="Arial"/>
          <w:color w:val="9A9086"/>
          <w:sz w:val="16"/>
          <w:szCs w:val="16"/>
        </w:rPr>
        <w:t xml:space="preserve">·  Portfolio Manager</w:t>
      </w:r>
    </w:p>
    <w:p>
      <w:pPr>
        <w:spacing w:after="80" w:before="0"/>
      </w:pPr>
      <w:r>
        <w:rPr>
          <w:rFonts w:ascii="Arial" w:cs="Arial" w:eastAsia="Arial" w:hAnsi="Arial"/>
          <w:b/>
          <w:bCs/>
          <w:color w:val="1A1A1F"/>
          <w:sz w:val="26"/>
          <w:szCs w:val="26"/>
        </w:rPr>
        <w:t xml:space="preserve">Client Onboarding</w:t>
      </w:r>
    </w:p>
    <w:p>
      <w:pPr>
        <w:spacing w:after="120" w:before="0"/>
        <w:jc w:val="both"/>
      </w:pPr>
      <w:r>
        <w:rPr>
          <w:rFonts w:ascii="Arial" w:cs="Arial" w:eastAsia="Arial" w:hAnsi="Arial"/>
          <w:b w:val="false"/>
          <w:bCs w:val="false"/>
          <w:i w:val="false"/>
          <w:iCs w:val="false"/>
          <w:color w:val="1A1A1F"/>
          <w:sz w:val="20"/>
          <w:szCs w:val="20"/>
        </w:rPr>
        <w:t xml:space="preserve">Create Client — name, type (individual / institutional), risk profile, base currency. Create Portfolio — link client, assign strategy, set capital. Individual or institutional. Any currency. Done in minutes.</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STEPS 07–08  </w:t>
      </w:r>
      <w:r>
        <w:rPr>
          <w:rFonts w:ascii="Arial" w:cs="Arial" w:eastAsia="Arial" w:hAnsi="Arial"/>
          <w:color w:val="9A9086"/>
          <w:sz w:val="16"/>
          <w:szCs w:val="16"/>
        </w:rPr>
        <w:t xml:space="preserve">·  Portfolio Manager</w:t>
      </w:r>
    </w:p>
    <w:p>
      <w:pPr>
        <w:spacing w:after="80" w:before="0"/>
      </w:pPr>
      <w:r>
        <w:rPr>
          <w:rFonts w:ascii="Arial" w:cs="Arial" w:eastAsia="Arial" w:hAnsi="Arial"/>
          <w:b/>
          <w:bCs/>
          <w:color w:val="1A1A1F"/>
          <w:sz w:val="26"/>
          <w:szCs w:val="26"/>
        </w:rPr>
        <w:t xml:space="preserve">Asset Allocation at Live Prices</w:t>
      </w:r>
    </w:p>
    <w:p>
      <w:pPr>
        <w:spacing w:after="120" w:before="0"/>
        <w:jc w:val="both"/>
      </w:pPr>
      <w:r>
        <w:rPr>
          <w:rFonts w:ascii="Arial" w:cs="Arial" w:eastAsia="Arial" w:hAnsi="Arial"/>
          <w:b w:val="false"/>
          <w:bCs w:val="false"/>
          <w:i w:val="false"/>
          <w:iCs w:val="false"/>
          <w:color w:val="1A1A1F"/>
          <w:sz w:val="20"/>
          <w:szCs w:val="20"/>
        </w:rPr>
        <w:t xml:space="preserve">Vektor turns percentage weights into actual positions — at real prices, rounded to the correct lot size for the target exchange. Live market prices fetched at execution time. Percentage weights converted to share quantities automatically. Exchange lot sizes applied. Configurable cash buffer reserved for fees and slippage. 99.94% capital allocation efficiency.</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 09  </w:t>
      </w:r>
      <w:r>
        <w:rPr>
          <w:rFonts w:ascii="Arial" w:cs="Arial" w:eastAsia="Arial" w:hAnsi="Arial"/>
          <w:color w:val="9A9086"/>
          <w:sz w:val="16"/>
          <w:szCs w:val="16"/>
        </w:rPr>
        <w:t xml:space="preserve">·  Operations</w:t>
      </w:r>
    </w:p>
    <w:p>
      <w:pPr>
        <w:spacing w:after="80" w:before="0"/>
      </w:pPr>
      <w:r>
        <w:rPr>
          <w:rFonts w:ascii="Arial" w:cs="Arial" w:eastAsia="Arial" w:hAnsi="Arial"/>
          <w:b/>
          <w:bCs/>
          <w:color w:val="1A1A1F"/>
          <w:sz w:val="26"/>
          <w:szCs w:val="26"/>
        </w:rPr>
        <w:t xml:space="preserve">Fund Cash Account</w:t>
      </w:r>
    </w:p>
    <w:p>
      <w:pPr>
        <w:spacing w:after="120" w:before="0"/>
        <w:jc w:val="both"/>
      </w:pPr>
      <w:r>
        <w:rPr>
          <w:rFonts w:ascii="Arial" w:cs="Arial" w:eastAsia="Arial" w:hAnsi="Arial"/>
          <w:b w:val="false"/>
          <w:bCs w:val="false"/>
          <w:i w:val="false"/>
          <w:iCs w:val="false"/>
          <w:color w:val="1A1A1F"/>
          <w:sz w:val="20"/>
          <w:szCs w:val="20"/>
        </w:rPr>
        <w:t xml:space="preserve">Operations records the client's wire transfer — currency, amount, reference — and the cash account is live immediately. Every deposit is logged with a full audit trail, ready for compliance review.</w:t>
      </w:r>
    </w:p>
    <w:p>
      <w:pPr>
        <w:pBdr>
          <w:bottom w:val="single" w:color="D0CCCA" w:sz="4" w:space="2"/>
        </w:pBdr>
        <w:spacing w:after="80"/>
      </w:pPr>
    </w:p>
    <w:p>
      <w:pPr>
        <w:spacing w:after="40" w:before="80"/>
      </w:pPr>
      <w:r>
        <w:rPr>
          <w:rFonts w:ascii="Arial" w:cs="Arial" w:eastAsia="Arial" w:hAnsi="Arial"/>
          <w:b/>
          <w:bCs/>
          <w:color w:val="C8A96E"/>
          <w:spacing w:val="40"/>
          <w:sz w:val="18"/>
          <w:szCs w:val="18"/>
        </w:rPr>
        <w:t xml:space="preserve">STEPS 10–11  </w:t>
      </w:r>
      <w:r>
        <w:rPr>
          <w:rFonts w:ascii="Arial" w:cs="Arial" w:eastAsia="Arial" w:hAnsi="Arial"/>
          <w:color w:val="9A9086"/>
          <w:sz w:val="16"/>
          <w:szCs w:val="16"/>
        </w:rPr>
        <w:t xml:space="preserve">·  Operations / Admin</w:t>
      </w:r>
    </w:p>
    <w:p>
      <w:pPr>
        <w:spacing w:after="80" w:before="0"/>
      </w:pPr>
      <w:r>
        <w:rPr>
          <w:rFonts w:ascii="Arial" w:cs="Arial" w:eastAsia="Arial" w:hAnsi="Arial"/>
          <w:b/>
          <w:bCs/>
          <w:color w:val="1A1A1F"/>
          <w:sz w:val="26"/>
          <w:szCs w:val="26"/>
        </w:rPr>
        <w:t xml:space="preserve">Market Data &amp; Exchange Rates</w:t>
      </w:r>
    </w:p>
    <w:p>
      <w:pPr>
        <w:spacing w:after="120" w:before="0"/>
        <w:jc w:val="both"/>
      </w:pPr>
      <w:r>
        <w:rPr>
          <w:rFonts w:ascii="Arial" w:cs="Arial" w:eastAsia="Arial" w:hAnsi="Arial"/>
          <w:b w:val="false"/>
          <w:bCs w:val="false"/>
          <w:i w:val="false"/>
          <w:iCs w:val="false"/>
          <w:color w:val="1A1A1F"/>
          <w:sz w:val="20"/>
          <w:szCs w:val="20"/>
        </w:rPr>
        <w:t xml:space="preserve">The securities master covers all registered instruments across any configured exchange. Three years of daily OHLCV data refreshes automatically every morning. FX rates updated daily for multi-currency mandates. One source of truth, no manual updates.</w:t>
      </w:r>
    </w:p>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Platform Status — What's Live. What's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2"/>
        <w:gridCol w:w="3192"/>
        <w:gridCol w:w="3192"/>
      </w:tblGrid>
      <w:tr>
        <w:trPr>
          <w:tblHeader/>
        </w:trPr>
        <w:tc>
          <w:tcPr>
            <w:tcW w:type="dxa" w:w="3192"/>
            <w:tcBorders>
              <w:top w:val="single" w:color="C8A96E" w:sz="8"/>
              <w:left w:val="none"/>
              <w:bottom w:val="single" w:color="2A2828" w:sz="4"/>
              <w:right w:val="none"/>
            </w:tcBorders>
            <w:shd w:fill="0A0A0F" w:val="clear"/>
            <w:tcMar>
              <w:top w:type="dxa" w:w="80"/>
              <w:left w:type="dxa" w:w="120"/>
              <w:bottom w:type="dxa" w:w="80"/>
              <w:right w:type="dxa" w:w="120"/>
            </w:tcMar>
          </w:tcPr>
          <w:p>
            <w:r>
              <w:rPr>
                <w:rFonts w:ascii="Arial" w:cs="Arial" w:eastAsia="Arial" w:hAnsi="Arial"/>
                <w:b/>
                <w:bCs/>
                <w:color w:val="C8A96E"/>
                <w:sz w:val="18"/>
                <w:szCs w:val="18"/>
              </w:rPr>
              <w:t xml:space="preserve">Live Today</w:t>
            </w:r>
          </w:p>
        </w:tc>
        <w:tc>
          <w:tcPr>
            <w:tcW w:type="dxa" w:w="3192"/>
            <w:tcBorders>
              <w:top w:val="single" w:color="C8A96E" w:sz="8"/>
              <w:left w:val="none"/>
              <w:bottom w:val="single" w:color="2A2828" w:sz="4"/>
              <w:right w:val="none"/>
            </w:tcBorders>
            <w:shd w:fill="0A0A0F" w:val="clear"/>
            <w:tcMar>
              <w:top w:type="dxa" w:w="80"/>
              <w:left w:type="dxa" w:w="120"/>
              <w:bottom w:type="dxa" w:w="80"/>
              <w:right w:type="dxa" w:w="120"/>
            </w:tcMar>
          </w:tcPr>
          <w:p>
            <w:r>
              <w:rPr>
                <w:rFonts w:ascii="Arial" w:cs="Arial" w:eastAsia="Arial" w:hAnsi="Arial"/>
                <w:b/>
                <w:bCs/>
                <w:color w:val="C8A96E"/>
                <w:sz w:val="18"/>
                <w:szCs w:val="18"/>
              </w:rPr>
              <w:t xml:space="preserve">Coming Next</w:t>
            </w:r>
          </w:p>
        </w:tc>
        <w:tc>
          <w:tcPr>
            <w:tcW w:type="dxa" w:w="3192"/>
            <w:tcBorders>
              <w:top w:val="single" w:color="C8A96E" w:sz="8"/>
              <w:left w:val="none"/>
              <w:bottom w:val="single" w:color="2A2828" w:sz="4"/>
              <w:right w:val="none"/>
            </w:tcBorders>
            <w:shd w:fill="0A0A0F" w:val="clear"/>
            <w:tcMar>
              <w:top w:type="dxa" w:w="80"/>
              <w:left w:type="dxa" w:w="120"/>
              <w:bottom w:type="dxa" w:w="80"/>
              <w:right w:type="dxa" w:w="120"/>
            </w:tcMar>
          </w:tcPr>
          <w:p>
            <w:r>
              <w:rPr>
                <w:rFonts w:ascii="Arial" w:cs="Arial" w:eastAsia="Arial" w:hAnsi="Arial"/>
                <w:b/>
                <w:bCs/>
                <w:color w:val="C8A96E"/>
                <w:sz w:val="18"/>
                <w:szCs w:val="18"/>
              </w:rPr>
              <w:t xml:space="preserve">Built to Scale</w:t>
            </w:r>
          </w:p>
        </w:tc>
      </w:tr>
      <w:tr>
        <w:tc>
          <w:tcPr>
            <w:tcW w:type="dxa" w:w="3192"/>
            <w:tcBorders>
              <w:top w:val="none"/>
              <w:left w:val="none"/>
              <w:bottom w:val="single" w:color="C8A96E" w:sz="8"/>
              <w:right w:val="single" w:color="D0CCCA" w:sz="2"/>
            </w:tcBorders>
            <w:shd w:fill="F7F6F4" w:val="clear"/>
            <w:tcMar>
              <w:top w:type="dxa" w:w="120"/>
              <w:left w:type="dxa" w:w="140"/>
              <w:bottom w:type="dxa" w:w="120"/>
              <w:right w:type="dxa" w:w="120"/>
            </w:tcMar>
          </w:tcPr>
          <w:p>
            <w:pPr>
              <w:spacing w:after="60" w:before="0"/>
            </w:pPr>
            <w:r>
              <w:rPr>
                <w:rFonts w:ascii="Arial" w:cs="Arial" w:eastAsia="Arial" w:hAnsi="Arial"/>
                <w:color w:val="1A1A1F"/>
                <w:sz w:val="18"/>
                <w:szCs w:val="18"/>
              </w:rPr>
              <w:t xml:space="preserve">Strategy creation &amp; optimisation</w:t>
            </w:r>
          </w:p>
          <w:p>
            <w:pPr>
              <w:spacing w:after="60" w:before="0"/>
            </w:pPr>
            <w:r>
              <w:rPr>
                <w:rFonts w:ascii="Arial" w:cs="Arial" w:eastAsia="Arial" w:hAnsi="Arial"/>
                <w:color w:val="1A1A1F"/>
                <w:sz w:val="18"/>
                <w:szCs w:val="18"/>
              </w:rPr>
              <w:t xml:space="preserve">Client onboarding &amp; portfolio setup</w:t>
            </w:r>
          </w:p>
          <w:p>
            <w:pPr>
              <w:spacing w:after="60" w:before="0"/>
            </w:pPr>
            <w:r>
              <w:rPr>
                <w:rFonts w:ascii="Arial" w:cs="Arial" w:eastAsia="Arial" w:hAnsi="Arial"/>
                <w:color w:val="1A1A1F"/>
                <w:sz w:val="18"/>
                <w:szCs w:val="18"/>
              </w:rPr>
              <w:t xml:space="preserve">Asset allocation at live prices</w:t>
            </w:r>
          </w:p>
          <w:p>
            <w:pPr>
              <w:spacing w:after="60" w:before="0"/>
            </w:pPr>
            <w:r>
              <w:rPr>
                <w:rFonts w:ascii="Arial" w:cs="Arial" w:eastAsia="Arial" w:hAnsi="Arial"/>
                <w:color w:val="1A1A1F"/>
                <w:sz w:val="18"/>
                <w:szCs w:val="18"/>
              </w:rPr>
              <w:t xml:space="preserve">Cash funding &amp; audit trail</w:t>
            </w:r>
          </w:p>
        </w:tc>
        <w:tc>
          <w:tcPr>
            <w:tcW w:type="dxa" w:w="3192"/>
            <w:tcBorders>
              <w:top w:val="none"/>
              <w:left w:val="none"/>
              <w:bottom w:val="single" w:color="C8A96E" w:sz="8"/>
              <w:right w:val="single" w:color="D0CCCA" w:sz="2"/>
            </w:tcBorders>
            <w:shd w:fill="F7F6F4" w:val="clear"/>
            <w:tcMar>
              <w:top w:type="dxa" w:w="120"/>
              <w:left w:type="dxa" w:w="140"/>
              <w:bottom w:type="dxa" w:w="120"/>
              <w:right w:type="dxa" w:w="120"/>
            </w:tcMar>
          </w:tcPr>
          <w:p>
            <w:pPr>
              <w:spacing w:after="60" w:before="0"/>
            </w:pPr>
            <w:r>
              <w:rPr>
                <w:rFonts w:ascii="Arial" w:cs="Arial" w:eastAsia="Arial" w:hAnsi="Arial"/>
                <w:color w:val="1A1A1F"/>
                <w:sz w:val="18"/>
                <w:szCs w:val="18"/>
              </w:rPr>
              <w:t xml:space="preserve">Direct trade execution via IBKR</w:t>
            </w:r>
          </w:p>
          <w:p>
            <w:pPr>
              <w:spacing w:after="60" w:before="0"/>
            </w:pPr>
            <w:r>
              <w:rPr>
                <w:rFonts w:ascii="Arial" w:cs="Arial" w:eastAsia="Arial" w:hAnsi="Arial"/>
                <w:color w:val="1A1A1F"/>
                <w:sz w:val="18"/>
                <w:szCs w:val="18"/>
              </w:rPr>
              <w:t xml:space="preserve">Real-time position updates post-fill</w:t>
            </w:r>
          </w:p>
          <w:p>
            <w:pPr>
              <w:spacing w:after="60" w:before="0"/>
            </w:pPr>
            <w:r>
              <w:rPr>
                <w:rFonts w:ascii="Arial" w:cs="Arial" w:eastAsia="Arial" w:hAnsi="Arial"/>
                <w:color w:val="1A1A1F"/>
                <w:sz w:val="18"/>
                <w:szCs w:val="18"/>
              </w:rPr>
              <w:t xml:space="preserve">Live P&amp;L &amp; performance dashboards</w:t>
            </w:r>
          </w:p>
          <w:p>
            <w:pPr>
              <w:spacing w:after="60" w:before="0"/>
            </w:pPr>
            <w:r>
              <w:rPr>
                <w:rFonts w:ascii="Arial" w:cs="Arial" w:eastAsia="Arial" w:hAnsi="Arial"/>
                <w:color w:val="1A1A1F"/>
                <w:sz w:val="18"/>
                <w:szCs w:val="18"/>
              </w:rPr>
              <w:t xml:space="preserve">Automated portfolio rebalancing</w:t>
            </w:r>
          </w:p>
        </w:tc>
        <w:tc>
          <w:tcPr>
            <w:tcW w:type="dxa" w:w="3192"/>
            <w:tcBorders>
              <w:top w:val="none"/>
              <w:left w:val="none"/>
              <w:bottom w:val="single" w:color="C8A96E" w:sz="8"/>
              <w:right w:val="single" w:color="D0CCCA" w:sz="2"/>
            </w:tcBorders>
            <w:shd w:fill="F7F6F4" w:val="clear"/>
            <w:tcMar>
              <w:top w:type="dxa" w:w="120"/>
              <w:left w:type="dxa" w:w="140"/>
              <w:bottom w:type="dxa" w:w="120"/>
              <w:right w:type="dxa" w:w="120"/>
            </w:tcMar>
          </w:tcPr>
          <w:p>
            <w:pPr>
              <w:spacing w:after="60" w:before="0"/>
            </w:pPr>
            <w:r>
              <w:rPr>
                <w:rFonts w:ascii="Arial" w:cs="Arial" w:eastAsia="Arial" w:hAnsi="Arial"/>
                <w:color w:val="1A1A1F"/>
                <w:sz w:val="18"/>
                <w:szCs w:val="18"/>
              </w:rPr>
              <w:t xml:space="preserve">Multiple clients &amp; strategies in parallel</w:t>
            </w:r>
          </w:p>
          <w:p>
            <w:pPr>
              <w:spacing w:after="60" w:before="0"/>
            </w:pPr>
            <w:r>
              <w:rPr>
                <w:rFonts w:ascii="Arial" w:cs="Arial" w:eastAsia="Arial" w:hAnsi="Arial"/>
                <w:color w:val="1A1A1F"/>
                <w:sz w:val="18"/>
                <w:szCs w:val="18"/>
              </w:rPr>
              <w:t xml:space="preserve">Multiple markets &amp; currencies</w:t>
            </w:r>
          </w:p>
          <w:p>
            <w:pPr>
              <w:spacing w:after="60" w:before="0"/>
            </w:pPr>
            <w:r>
              <w:rPr>
                <w:rFonts w:ascii="Arial" w:cs="Arial" w:eastAsia="Arial" w:hAnsi="Arial"/>
                <w:color w:val="1A1A1F"/>
                <w:sz w:val="18"/>
                <w:szCs w:val="18"/>
              </w:rPr>
              <w:t xml:space="preserve">Any listed equity exchange</w:t>
            </w:r>
          </w:p>
          <w:p>
            <w:pPr>
              <w:spacing w:after="60" w:before="0"/>
            </w:pPr>
            <w:r>
              <w:rPr>
                <w:rFonts w:ascii="Arial" w:cs="Arial" w:eastAsia="Arial" w:hAnsi="Arial"/>
                <w:color w:val="1A1A1F"/>
                <w:sz w:val="18"/>
                <w:szCs w:val="18"/>
              </w:rPr>
              <w:t xml:space="preserve">Add a new mandate in minutes</w:t>
            </w:r>
          </w:p>
        </w:tc>
      </w:tr>
    </w:tbl>
    <w:p>
      <w:pPr>
        <w:spacing w:after="0" w:before="120"/>
      </w:pPr>
      <w:r>
        <w:t xml:space="preserve"/>
      </w:r>
    </w:p>
    <w:p>
      <w:pPr>
        <w:pBdr>
          <w:bottom w:val="single" w:color="C8A96E" w:sz="12" w:space="4"/>
        </w:pBdr>
        <w:spacing w:after="120"/>
      </w:pPr>
    </w:p>
    <w:p>
      <w:pPr>
        <w:spacing w:after="80" w:before="80"/>
        <w:jc w:val="center"/>
      </w:pPr>
      <w:r>
        <w:rPr>
          <w:rFonts w:ascii="Arial" w:cs="Arial" w:eastAsia="Arial" w:hAnsi="Arial"/>
          <w:b/>
          <w:bCs/>
          <w:color w:val="1A1A1F"/>
          <w:sz w:val="28"/>
          <w:szCs w:val="28"/>
        </w:rPr>
        <w:t xml:space="preserve">Ready to see Vektor in action?</w:t>
      </w:r>
    </w:p>
    <w:p>
      <w:pPr>
        <w:spacing w:after="80" w:before="0"/>
        <w:jc w:val="center"/>
      </w:pPr>
      <w:r>
        <w:rPr>
          <w:rFonts w:ascii="Arial" w:cs="Arial" w:eastAsia="Arial" w:hAnsi="Arial"/>
          <w:i/>
          <w:iCs/>
          <w:color w:val="9A9086"/>
          <w:sz w:val="20"/>
          <w:szCs w:val="20"/>
        </w:rPr>
        <w:t xml:space="preserve">Show us a mandate — any listed equity market, any currency, any benchmark — and we will run the full Vektor workflow against it and show you the output live. No slides. No promises. Just the platform, working on your data.</w:t>
      </w:r>
    </w:p>
    <w:p>
      <w:pPr>
        <w:jc w:val="center"/>
      </w:pPr>
      <w:r>
        <w:rPr>
          <w:rFonts w:ascii="Arial" w:cs="Arial" w:eastAsia="Arial" w:hAnsi="Arial"/>
          <w:b/>
          <w:bCs/>
          <w:color w:val="C8A96E"/>
          <w:sz w:val="22"/>
          <w:szCs w:val="22"/>
        </w:rPr>
        <w:t xml:space="preserve">Enquire about Founding Mandate availability at investpuppy.com</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For the full commercial argument, see: Why Vektor. For the technical methodology, see: Quantitative Portfolio Construction — WP-01. Both available at investpuppy.com.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2026-05-05T00:02:05.445Z</dcterms:created>
  <dcterms:modified xsi:type="dcterms:W3CDTF">2026-05-05T00:02:05.446Z</dcterms:modified>
</cp:coreProperties>
</file>

<file path=docProps/custom.xml><?xml version="1.0" encoding="utf-8"?>
<Properties xmlns="http://schemas.openxmlformats.org/officeDocument/2006/custom-properties" xmlns:vt="http://schemas.openxmlformats.org/officeDocument/2006/docPropsVTypes"/>
</file>