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 w:line="276"/>
        <w:jc w:val="left"/>
      </w:pPr>
      <w:r>
        <w:rPr>
          <w:rFonts w:ascii="Arial" w:cs="Arial" w:eastAsia="Arial" w:hAnsi="Arial"/>
          <w:b w:val="false"/>
          <w:bCs w:val="false"/>
          <w:i w:val="false"/>
          <w:iCs w:val="false"/>
          <w:caps/>
          <w:color w:val="9A9086"/>
          <w:spacing w:val="80"/>
          <w:sz w:val="14"/>
          <w:szCs w:val="14"/>
        </w:rPr>
        <w:t xml:space="preserve">VEKTOR  ·  BY INVESTPUPPY</w:t>
      </w:r>
    </w:p>
    <w:p>
      <w:pPr>
        <w:pBdr>
          <w:bottom w:val="single" w:color="C8A96E" w:sz="12" w:space="4"/>
        </w:pBdr>
        <w:spacing w:after="120" w:before="60"/>
      </w:pPr>
    </w:p>
    <w:p>
      <w:pPr>
        <w:spacing w:after="120" w:before="0" w:line="276"/>
        <w:jc w:val="left"/>
      </w:pPr>
      <w:r>
        <w:rPr>
          <w:rFonts w:ascii="Arial" w:cs="Arial" w:eastAsia="Arial" w:hAnsi="Arial"/>
          <w:b/>
          <w:bCs/>
          <w:i w:val="false"/>
          <w:iCs w:val="false"/>
          <w:caps w:val="false"/>
          <w:color w:val="1A1A1F"/>
          <w:sz w:val="40"/>
          <w:szCs w:val="40"/>
        </w:rPr>
        <w:t xml:space="preserve">Frequently Asked
Questions</w:t>
      </w:r>
    </w:p>
    <w:p>
      <w:pPr>
        <w:spacing w:after="200" w:before="0" w:line="276"/>
        <w:jc w:val="left"/>
      </w:pPr>
      <w:r>
        <w:rPr>
          <w:rFonts w:ascii="Arial" w:cs="Arial" w:eastAsia="Arial" w:hAnsi="Arial"/>
          <w:b w:val="false"/>
          <w:bCs w:val="false"/>
          <w:i/>
          <w:iCs/>
          <w:caps w:val="false"/>
          <w:color w:val="9A9086"/>
          <w:sz w:val="20"/>
          <w:szCs w:val="20"/>
        </w:rPr>
        <w:t>Fifteen questions that come up in every conversation about Vektor — answered directly, in plain language.</w:t>
      </w:r>
    </w:p>
    <w:p>
      <w:pPr>
        <w:pBdr>
          <w:bottom w:val="single" w:color="D0CCCA" w:sz="4" w:space="2"/>
        </w:pBdr>
        <w:spacing w:after="80" w:before="80"/>
      </w:pPr>
    </w:p>
    <w:p>
      <w:pPr>
        <w:spacing w:after="60" w:before="0" w:line="276"/>
        <w:jc w:val="left"/>
      </w:pPr>
      <w:r>
        <w:rPr>
          <w:rFonts w:ascii="Arial" w:cs="Arial" w:eastAsia="Arial" w:hAnsi="Arial"/>
          <w:b w:val="false"/>
          <w:bCs w:val="false"/>
          <w:i/>
          <w:iCs/>
          <w:caps w:val="false"/>
          <w:color w:val="9A9086"/>
          <w:sz w:val="17"/>
          <w:szCs w:val="17"/>
        </w:rPr>
        <w:t xml:space="preserve">For DPMs, family office principals, and prospective partners</w:t>
      </w:r>
    </w:p>
    <w:p>
      <w:pPr>
        <w:spacing w:after="60" w:before="0" w:line="276"/>
        <w:jc w:val="left"/>
      </w:pPr>
      <w:r>
        <w:rPr>
          <w:rFonts w:ascii="Arial" w:cs="Arial" w:eastAsia="Arial" w:hAnsi="Arial"/>
          <w:b w:val="false"/>
          <w:bCs w:val="false"/>
          <w:i w:val="false"/>
          <w:iCs w:val="false"/>
          <w:caps w:val="false"/>
          <w:color w:val="9A9086"/>
          <w:sz w:val="15"/>
          <w:szCs w:val="15"/>
        </w:rPr>
        <w:t xml:space="preserve">IP-FAQ-260501-1.0  ·  May 2026</w:t>
      </w:r>
    </w:p>
    <w:p>
      <w:pPr>
        <w:spacing w:after="0" w:before="0"/>
      </w:pPr>
      <w:r>
        <w:br w:type="page"/>
      </w:r>
    </w:p>
    <w:p>
      <w:pPr>
        <w:spacing w:after="100" w:before="0" w:line="276"/>
        <w:jc w:val="both"/>
      </w:pPr>
      <w:r>
        <w:rPr>
          <w:rFonts w:ascii="Arial" w:cs="Arial" w:eastAsia="Arial" w:hAnsi="Arial"/>
          <w:b w:val="false"/>
          <w:bCs w:val="false"/>
          <w:i w:val="false"/>
          <w:iCs w:val="false"/>
          <w:caps w:val="false"/>
          <w:color w:val="1A1A1F"/>
          <w:sz w:val="19"/>
          <w:szCs w:val="19"/>
        </w:rPr>
        <w:t>These are the fifteen questions that come up in every conversation about Vektor. The answers here are plain-language summaries. For the full technical and methodological detail behind each answer, the relevant document is noted at the end of each response.</w:t>
      </w:r>
    </w:p>
    <w:p>
      <w:pPr>
        <w:pBdr>
          <w:bottom w:val="single" w:color="D0CCCA" w:sz="4" w:space="2"/>
        </w:pBdr>
        <w:spacing w:after="60" w:before="60"/>
      </w:pPr>
    </w:p>
    <w:p>
      <w:pPr>
        <w:spacing w:after="40" w:before="280" w:line="276"/>
        <w:jc w:val="left"/>
      </w:pPr>
      <w:r>
        <w:rPr>
          <w:rFonts w:ascii="Arial" w:cs="Arial" w:eastAsia="Arial" w:hAnsi="Arial"/>
          <w:b/>
          <w:bCs/>
          <w:i w:val="false"/>
          <w:iCs w:val="false"/>
          <w:caps/>
          <w:color w:val="C8A96E"/>
          <w:spacing w:val="80"/>
          <w:sz w:val="14"/>
          <w:szCs w:val="14"/>
        </w:rPr>
        <w:t xml:space="preserve">ABOUT THE PLATFORM</w:t>
      </w:r>
    </w:p>
    <w:p>
      <w:pPr>
        <w:spacing w:after="60" w:before="200" w:line="276"/>
        <w:jc w:val="left"/>
      </w:pPr>
      <w:r>
        <w:rPr>
          <w:rFonts w:ascii="Arial" w:cs="Arial" w:eastAsia="Arial" w:hAnsi="Arial"/>
          <w:b/>
          <w:bCs/>
          <w:i w:val="false"/>
          <w:iCs w:val="false"/>
          <w:caps w:val="false"/>
          <w:color w:val="1A1A1F"/>
          <w:sz w:val="20"/>
          <w:szCs w:val="20"/>
        </w:rPr>
        <w:t xml:space="preserve">Q1. Is Vektor an AI trading system?</w:t>
      </w:r>
    </w:p>
    <w:p>
      <w:pPr>
        <w:spacing w:after="100" w:before="0" w:line="276"/>
        <w:jc w:val="both"/>
      </w:pPr>
      <w:r>
        <w:rPr>
          <w:rFonts w:ascii="Arial" w:cs="Arial" w:eastAsia="Arial" w:hAnsi="Arial"/>
          <w:b w:val="false"/>
          <w:bCs w:val="false"/>
          <w:i w:val="false"/>
          <w:iCs w:val="false"/>
          <w:caps w:val="false"/>
          <w:color w:val="1A1A1F"/>
          <w:sz w:val="19"/>
          <w:szCs w:val="19"/>
        </w:rPr>
        <w:t xml:space="preserve">No. Vektor is a systematic portfolio management platform. It uses machine learning in two specific, bounded roles: filtering the instrument universe during research, and validating trading signals before they are reviewed by a portfolio manager. In both cases, machine learning produces an output — a screened list, a confidence score — that a human reviews and acts on. No position is taken without explicit portfolio manager approval. The machine does not trade.</w:t>
      </w:r>
    </w:p>
    <w:p>
      <w:pPr>
        <w:spacing w:after="60" w:before="40" w:line="276"/>
        <w:jc w:val="left"/>
      </w:pPr>
      <w:r>
        <w:rPr>
          <w:rFonts w:ascii="Arial" w:cs="Arial" w:eastAsia="Arial" w:hAnsi="Arial"/>
          <w:b w:val="false"/>
          <w:bCs w:val="false"/>
          <w:i/>
          <w:iCs/>
          <w:caps w:val="false"/>
          <w:color w:val="9A9086"/>
          <w:sz w:val="17"/>
          <w:szCs w:val="17"/>
        </w:rPr>
        <w:t xml:space="preserve">See: WP-08: AI as Instrument</w:t>
      </w:r>
    </w:p>
    <w:p>
      <w:pPr>
        <w:spacing w:after="60" w:before="200" w:line="276"/>
        <w:jc w:val="left"/>
      </w:pPr>
      <w:r>
        <w:rPr>
          <w:rFonts w:ascii="Arial" w:cs="Arial" w:eastAsia="Arial" w:hAnsi="Arial"/>
          <w:b/>
          <w:bCs/>
          <w:i w:val="false"/>
          <w:iCs w:val="false"/>
          <w:caps w:val="false"/>
          <w:color w:val="1A1A1F"/>
          <w:sz w:val="20"/>
          <w:szCs w:val="20"/>
        </w:rPr>
        <w:t xml:space="preserve">Q2. Who approves the trades?</w:t>
      </w:r>
    </w:p>
    <w:p>
      <w:pPr>
        <w:spacing w:after="100" w:before="0" w:line="276"/>
        <w:jc w:val="both"/>
      </w:pPr>
      <w:r>
        <w:rPr>
          <w:rFonts w:ascii="Arial" w:cs="Arial" w:eastAsia="Arial" w:hAnsi="Arial"/>
          <w:b w:val="false"/>
          <w:bCs w:val="false"/>
          <w:i w:val="false"/>
          <w:iCs w:val="false"/>
          <w:caps w:val="false"/>
          <w:color w:val="1A1A1F"/>
          <w:sz w:val="19"/>
          <w:szCs w:val="19"/>
        </w:rPr>
        <w:t xml:space="preserve">The portfolio manager approves every strategy before any client assignment proceeds. The operations team records every cash funding. The portfolio manager confirms the allocation before any orders are submitted. These are three separate human actions — none can be automated or skipped.</w:t>
      </w:r>
    </w:p>
    <w:p>
      <w:pPr>
        <w:spacing w:after="60" w:before="40" w:line="276"/>
        <w:jc w:val="left"/>
      </w:pPr>
      <w:r>
        <w:rPr>
          <w:rFonts w:ascii="Arial" w:cs="Arial" w:eastAsia="Arial" w:hAnsi="Arial"/>
          <w:b w:val="false"/>
          <w:bCs w:val="false"/>
          <w:i/>
          <w:iCs/>
          <w:caps w:val="false"/>
          <w:color w:val="9A9086"/>
          <w:sz w:val="17"/>
          <w:szCs w:val="17"/>
        </w:rPr>
        <w:t xml:space="preserve">See: WP-06: Audit Trail &amp; Compliance, WP-08: AI as Instrument</w:t>
      </w:r>
    </w:p>
    <w:p>
      <w:pPr>
        <w:spacing w:after="60" w:before="200" w:line="276"/>
        <w:jc w:val="left"/>
      </w:pPr>
      <w:r>
        <w:rPr>
          <w:rFonts w:ascii="Arial" w:cs="Arial" w:eastAsia="Arial" w:hAnsi="Arial"/>
          <w:b/>
          <w:bCs/>
          <w:i w:val="false"/>
          <w:iCs w:val="false"/>
          <w:caps w:val="false"/>
          <w:color w:val="1A1A1F"/>
          <w:sz w:val="20"/>
          <w:szCs w:val="20"/>
        </w:rPr>
        <w:t xml:space="preserve">Q3. What happens if the market crashes?</w:t>
      </w:r>
    </w:p>
    <w:p>
      <w:pPr>
        <w:spacing w:after="100" w:before="0" w:line="276"/>
        <w:jc w:val="both"/>
      </w:pPr>
      <w:r>
        <w:rPr>
          <w:rFonts w:ascii="Arial" w:cs="Arial" w:eastAsia="Arial" w:hAnsi="Arial"/>
          <w:b w:val="false"/>
          <w:bCs w:val="false"/>
          <w:i w:val="false"/>
          <w:iCs w:val="false"/>
          <w:caps w:val="false"/>
          <w:color w:val="1A1A1F"/>
          <w:sz w:val="19"/>
          <w:szCs w:val="19"/>
        </w:rPr>
        <w:t xml:space="preserve">Vektor does not automatically liquidate positions in response to market movements — there is no automatic stop-loss or liquidation trigger. The portfolio manager reviews the strategy and decides whether to rebalance, hold, or exit positions. The platform provides current position data, signal status, and allocation calculation to support that decision. How a mandate responds to a market crash is a portfolio management decision, not a platform decision.</w:t>
      </w:r>
    </w:p>
    <w:p>
      <w:pPr>
        <w:spacing w:after="60" w:before="40" w:line="276"/>
        <w:jc w:val="left"/>
      </w:pPr>
      <w:r>
        <w:rPr>
          <w:rFonts w:ascii="Arial" w:cs="Arial" w:eastAsia="Arial" w:hAnsi="Arial"/>
          <w:b w:val="false"/>
          <w:bCs w:val="false"/>
          <w:i/>
          <w:iCs/>
          <w:caps w:val="false"/>
          <w:color w:val="9A9086"/>
          <w:sz w:val="17"/>
          <w:szCs w:val="17"/>
        </w:rPr>
        <w:t xml:space="preserve">See: WP-02, WP-09: Risk Disclosure</w:t>
      </w:r>
    </w:p>
    <w:p>
      <w:pPr>
        <w:spacing w:after="60" w:before="200" w:line="276"/>
        <w:jc w:val="left"/>
      </w:pPr>
      <w:r>
        <w:rPr>
          <w:rFonts w:ascii="Arial" w:cs="Arial" w:eastAsia="Arial" w:hAnsi="Arial"/>
          <w:b/>
          <w:bCs/>
          <w:i w:val="false"/>
          <w:iCs w:val="false"/>
          <w:caps w:val="false"/>
          <w:color w:val="1A1A1F"/>
          <w:sz w:val="20"/>
          <w:szCs w:val="20"/>
        </w:rPr>
        <w:t xml:space="preserve">Q4. Can I use Vektor alongside my existing holdings and systems?</w:t>
      </w:r>
    </w:p>
    <w:p>
      <w:pPr>
        <w:spacing w:after="100" w:before="0" w:line="276"/>
        <w:jc w:val="both"/>
      </w:pPr>
      <w:r>
        <w:rPr>
          <w:rFonts w:ascii="Arial" w:cs="Arial" w:eastAsia="Arial" w:hAnsi="Arial"/>
          <w:b w:val="false"/>
          <w:bCs w:val="false"/>
          <w:i w:val="false"/>
          <w:iCs w:val="false"/>
          <w:caps w:val="false"/>
          <w:color w:val="1A1A1F"/>
          <w:sz w:val="19"/>
          <w:szCs w:val="19"/>
        </w:rPr>
        <w:t xml:space="preserve">Yes. Vektor is designed to complement existing infrastructure, not replace it. The platform outputs a complete allocation table via API — instruments, quantities, and values — that can feed into an existing PMS or execution system. A client with an existing equity research process can use Vektor for the systematic portfolio construction layer while continuing to use existing tools for everything else.</w:t>
      </w:r>
    </w:p>
    <w:p>
      <w:pPr>
        <w:spacing w:after="60" w:before="40" w:line="276"/>
        <w:jc w:val="left"/>
      </w:pPr>
      <w:r>
        <w:rPr>
          <w:rFonts w:ascii="Arial" w:cs="Arial" w:eastAsia="Arial" w:hAnsi="Arial"/>
          <w:b w:val="false"/>
          <w:bCs w:val="false"/>
          <w:i/>
          <w:iCs/>
          <w:caps w:val="false"/>
          <w:color w:val="9A9086"/>
          <w:sz w:val="17"/>
          <w:szCs w:val="17"/>
        </w:rPr>
        <w:t xml:space="preserve">See: WP-07: Technical Architecture, Workflow Integration Guide</w:t>
      </w:r>
    </w:p>
    <w:p>
      <w:pPr>
        <w:spacing w:after="60" w:before="200" w:line="276"/>
        <w:jc w:val="left"/>
      </w:pPr>
      <w:r>
        <w:rPr>
          <w:rFonts w:ascii="Arial" w:cs="Arial" w:eastAsia="Arial" w:hAnsi="Arial"/>
          <w:b/>
          <w:bCs/>
          <w:i w:val="false"/>
          <w:iCs w:val="false"/>
          <w:caps w:val="false"/>
          <w:color w:val="1A1A1F"/>
          <w:sz w:val="20"/>
          <w:szCs w:val="20"/>
        </w:rPr>
        <w:t xml:space="preserve">Q5. What data does Vektor use?</w:t>
      </w:r>
    </w:p>
    <w:p>
      <w:pPr>
        <w:spacing w:after="100" w:before="0" w:line="276"/>
        <w:jc w:val="both"/>
      </w:pPr>
      <w:r>
        <w:rPr>
          <w:rFonts w:ascii="Arial" w:cs="Arial" w:eastAsia="Arial" w:hAnsi="Arial"/>
          <w:b w:val="false"/>
          <w:bCs w:val="false"/>
          <w:i w:val="false"/>
          <w:iCs w:val="false"/>
          <w:caps w:val="false"/>
          <w:color w:val="1A1A1F"/>
          <w:sz w:val="19"/>
          <w:szCs w:val="19"/>
        </w:rPr>
        <w:t>Three years of daily OHLCV (open, high, low, close, volume) price history for all configured instruments, sourced from Yahoo Finance. Daily FX rates for all configured currency pairs. Data quality checks run on ingestion and corporate action adjustments are applied. The data source is configurable — a Bloomberg or institutional data feed can be substituted without architectural changes. On data dependency: a data quality failure at source triggers a platform alert before any strategy execution proceeds. Historical price data is stored within the platform, so a temporary provider outage does not affect existing strategies. Data portability is by design: the full instrument and price database can be exported at any point.</w:t>
      </w:r>
    </w:p>
    <w:p>
      <w:pPr>
        <w:spacing w:after="60" w:before="40" w:line="276"/>
        <w:jc w:val="left"/>
      </w:pPr>
      <w:r>
        <w:rPr>
          <w:rFonts w:ascii="Arial" w:cs="Arial" w:eastAsia="Arial" w:hAnsi="Arial"/>
          <w:b w:val="false"/>
          <w:bCs w:val="false"/>
          <w:i/>
          <w:iCs/>
          <w:caps w:val="false"/>
          <w:color w:val="9A9086"/>
          <w:sz w:val="17"/>
          <w:szCs w:val="17"/>
        </w:rPr>
        <w:t xml:space="preserve">See: WP-04: Indicator Selection, WP-05: Multi-Currency</w:t>
      </w:r>
    </w:p>
    <w:p>
      <w:pPr>
        <w:spacing w:after="60" w:before="200" w:line="276"/>
        <w:jc w:val="left"/>
      </w:pPr>
      <w:r>
        <w:rPr>
          <w:rFonts w:ascii="Arial" w:cs="Arial" w:eastAsia="Arial" w:hAnsi="Arial"/>
          <w:b/>
          <w:bCs/>
          <w:i w:val="false"/>
          <w:iCs w:val="false"/>
          <w:caps w:val="false"/>
          <w:color w:val="1A1A1F"/>
          <w:sz w:val="20"/>
          <w:szCs w:val="20"/>
        </w:rPr>
        <w:t xml:space="preserve">Q6. Which markets does Vektor support?</w:t>
      </w:r>
    </w:p>
    <w:p>
      <w:pPr>
        <w:spacing w:after="100" w:before="0" w:line="276"/>
        <w:jc w:val="both"/>
      </w:pPr>
      <w:r>
        <w:rPr>
          <w:rFonts w:ascii="Arial" w:cs="Arial" w:eastAsia="Arial" w:hAnsi="Arial"/>
          <w:b w:val="false"/>
          <w:bCs w:val="false"/>
          <w:i w:val="false"/>
          <w:iCs w:val="false"/>
          <w:caps w:val="false"/>
          <w:color w:val="1A1A1F"/>
          <w:sz w:val="19"/>
          <w:szCs w:val="19"/>
        </w:rPr>
        <w:t xml:space="preserve">Any listed equity market. Exchange, benchmark, currency, and lot sizes are configuration parameters — not hard-coded values. The platform is illustrated with an SGX implementation because that is the initial deployment market, but the same methodology applies to any exchange with sufficient historical price data.</w:t>
      </w:r>
    </w:p>
    <w:p>
      <w:pPr>
        <w:spacing w:after="60" w:before="40" w:line="276"/>
        <w:jc w:val="left"/>
      </w:pPr>
      <w:r>
        <w:rPr>
          <w:rFonts w:ascii="Arial" w:cs="Arial" w:eastAsia="Arial" w:hAnsi="Arial"/>
          <w:b w:val="false"/>
          <w:bCs w:val="false"/>
          <w:i/>
          <w:iCs/>
          <w:caps w:val="false"/>
          <w:color w:val="9A9086"/>
          <w:sz w:val="17"/>
          <w:szCs w:val="17"/>
        </w:rPr>
        <w:t xml:space="preserve">See: WP-01: Portfolio Construction</w:t>
      </w:r>
    </w:p>
    <w:p>
      <w:pPr>
        <w:pBdr>
          <w:bottom w:val="single" w:color="D0CCCA" w:sz="4" w:space="2"/>
        </w:pBdr>
        <w:spacing w:after="60" w:before="80"/>
      </w:pPr>
    </w:p>
    <w:p>
      <w:pPr>
        <w:spacing w:after="40" w:before="280" w:line="276"/>
        <w:jc w:val="left"/>
      </w:pPr>
      <w:r>
        <w:rPr>
          <w:rFonts w:ascii="Arial" w:cs="Arial" w:eastAsia="Arial" w:hAnsi="Arial"/>
          <w:b/>
          <w:bCs/>
          <w:i w:val="false"/>
          <w:iCs w:val="false"/>
          <w:caps/>
          <w:color w:val="C8A96E"/>
          <w:spacing w:val="80"/>
          <w:sz w:val="14"/>
          <w:szCs w:val="14"/>
        </w:rPr>
        <w:t xml:space="preserve">ABOUT GETTING STARTED</w:t>
      </w:r>
    </w:p>
    <w:p>
      <w:pPr>
        <w:spacing w:after="60" w:before="200" w:line="276"/>
        <w:jc w:val="left"/>
      </w:pPr>
      <w:r>
        <w:rPr>
          <w:rFonts w:ascii="Arial" w:cs="Arial" w:eastAsia="Arial" w:hAnsi="Arial"/>
          <w:b/>
          <w:bCs/>
          <w:i w:val="false"/>
          <w:iCs w:val="false"/>
          <w:caps w:val="false"/>
          <w:color w:val="1A1A1F"/>
          <w:sz w:val="20"/>
          <w:szCs w:val="20"/>
        </w:rPr>
        <w:t xml:space="preserve">Q7. Is my data kept in Singapore?</w:t>
      </w:r>
    </w:p>
    <w:p>
      <w:pPr>
        <w:spacing w:after="100" w:before="0" w:line="276"/>
        <w:jc w:val="both"/>
      </w:pPr>
      <w:r>
        <w:rPr>
          <w:rFonts w:ascii="Arial" w:cs="Arial" w:eastAsia="Arial" w:hAnsi="Arial"/>
          <w:b w:val="false"/>
          <w:bCs w:val="false"/>
          <w:i w:val="false"/>
          <w:iCs w:val="false"/>
          <w:caps w:val="false"/>
          <w:color w:val="1A1A1F"/>
          <w:sz w:val="19"/>
          <w:szCs w:val="19"/>
        </w:rPr>
        <w:t xml:space="preserve">The current deployment is in AWS ap-southeast-1 (Singapore). Data does not leave the configured AWS region as part of normal platform operation. AWS data residency guarantees apply per region. A client with UK or Hong Kong data residency requirements can deploy to the appropriate AWS region — the architecture is region-agnostic by design.</w:t>
      </w:r>
    </w:p>
    <w:p>
      <w:pPr>
        <w:spacing w:after="60" w:before="40" w:line="276"/>
        <w:jc w:val="left"/>
      </w:pPr>
      <w:r>
        <w:rPr>
          <w:rFonts w:ascii="Arial" w:cs="Arial" w:eastAsia="Arial" w:hAnsi="Arial"/>
          <w:b w:val="false"/>
          <w:bCs w:val="false"/>
          <w:i/>
          <w:iCs/>
          <w:caps w:val="false"/>
          <w:color w:val="9A9086"/>
          <w:sz w:val="17"/>
          <w:szCs w:val="17"/>
        </w:rPr>
        <w:t xml:space="preserve">See: WP-07: Technical Architecture</w:t>
      </w:r>
    </w:p>
    <w:p>
      <w:pPr>
        <w:spacing w:after="60" w:before="200" w:line="276"/>
        <w:jc w:val="left"/>
      </w:pPr>
      <w:r>
        <w:rPr>
          <w:rFonts w:ascii="Arial" w:cs="Arial" w:eastAsia="Arial" w:hAnsi="Arial"/>
          <w:b/>
          <w:bCs/>
          <w:i w:val="false"/>
          <w:iCs w:val="false"/>
          <w:caps w:val="false"/>
          <w:color w:val="1A1A1F"/>
          <w:sz w:val="20"/>
          <w:szCs w:val="20"/>
        </w:rPr>
        <w:t xml:space="preserve">Q8. What is the Founding Mandate?</w:t>
      </w:r>
    </w:p>
    <w:p>
      <w:pPr>
        <w:spacing w:after="100" w:before="0" w:line="276"/>
        <w:jc w:val="both"/>
      </w:pPr>
      <w:r>
        <w:rPr>
          <w:rFonts w:ascii="Arial" w:cs="Arial" w:eastAsia="Arial" w:hAnsi="Arial"/>
          <w:b w:val="false"/>
          <w:bCs w:val="false"/>
          <w:i w:val="false"/>
          <w:iCs w:val="false"/>
          <w:caps w:val="false"/>
          <w:color w:val="1A1A1F"/>
          <w:sz w:val="19"/>
          <w:szCs w:val="19"/>
        </w:rPr>
        <w:t>The Founding Mandate is the early-adopter programme. Founding Mandate partners work directly with the Vektor team to configure the platform around their specific workflow, and receive founding commercial terms not available after the programme closes. In exchange, Founding Mandate partners are building the platform alongside us — their feedback shapes the product roadmap. For the complete programme specification — commercial structure, partner obligations, slot availability, and the fifteen-month founding period — see the Founding Mandate Programme document.</w:t>
      </w:r>
    </w:p>
    <w:p>
      <w:pPr>
        <w:spacing w:after="60" w:before="40" w:line="276"/>
        <w:jc w:val="left"/>
      </w:pPr>
      <w:r>
        <w:rPr>
          <w:rFonts w:ascii="Arial" w:cs="Arial" w:eastAsia="Arial" w:hAnsi="Arial"/>
          <w:b w:val="false"/>
          <w:bCs w:val="false"/>
          <w:i/>
          <w:iCs/>
          <w:caps w:val="false"/>
          <w:color w:val="9A9086"/>
          <w:sz w:val="17"/>
          <w:szCs w:val="17"/>
        </w:rPr>
        <w:t xml:space="preserve">See: Why Vektor, Founding Mandate Programme (IP-FMP-260501-1.0)</w:t>
      </w:r>
    </w:p>
    <w:p>
      <w:pPr>
        <w:spacing w:after="60" w:before="200" w:line="276"/>
        <w:jc w:val="left"/>
      </w:pPr>
      <w:r>
        <w:rPr>
          <w:rFonts w:ascii="Arial" w:cs="Arial" w:eastAsia="Arial" w:hAnsi="Arial"/>
          <w:b/>
          <w:bCs/>
          <w:i w:val="false"/>
          <w:iCs w:val="false"/>
          <w:caps w:val="false"/>
          <w:color w:val="1A1A1F"/>
          <w:sz w:val="20"/>
          <w:szCs w:val="20"/>
        </w:rPr>
        <w:t xml:space="preserve">Q9. Does Vektor have a live track record?</w:t>
      </w:r>
    </w:p>
    <w:p>
      <w:pPr>
        <w:spacing w:after="100" w:before="0" w:line="276"/>
        <w:jc w:val="both"/>
      </w:pPr>
      <w:r>
        <w:rPr>
          <w:rFonts w:ascii="Arial" w:cs="Arial" w:eastAsia="Arial" w:hAnsi="Arial"/>
          <w:b w:val="false"/>
          <w:bCs w:val="false"/>
          <w:i w:val="false"/>
          <w:iCs w:val="false"/>
          <w:caps w:val="false"/>
          <w:color w:val="1A1A1F"/>
          <w:sz w:val="19"/>
          <w:szCs w:val="19"/>
        </w:rPr>
        <w:t xml:space="preserve">Not yet. The platform is operational in simulation mode — the complete workflow from research through order execution has been tested and validated with a simulated IBKR account. A live track record with real client capital will begin with the first Founding Mandate client. This is stated directly because it is a material fact for any investment manager evaluating the platform.</w:t>
      </w:r>
    </w:p>
    <w:p>
      <w:pPr>
        <w:spacing w:after="60" w:before="40" w:line="276"/>
        <w:jc w:val="left"/>
      </w:pPr>
      <w:r>
        <w:rPr>
          <w:rFonts w:ascii="Arial" w:cs="Arial" w:eastAsia="Arial" w:hAnsi="Arial"/>
          <w:b w:val="false"/>
          <w:bCs w:val="false"/>
          <w:i/>
          <w:iCs/>
          <w:caps w:val="false"/>
          <w:color w:val="9A9086"/>
          <w:sz w:val="17"/>
          <w:szCs w:val="17"/>
        </w:rPr>
        <w:t xml:space="preserve">See: WP-09: Risk Disclosure, WP-10: Evaluating Performance, Founding Mandate Programme (IP-FMP-260501-1.0)</w:t>
      </w:r>
    </w:p>
    <w:p>
      <w:pPr>
        <w:spacing w:after="60" w:before="200" w:line="276"/>
        <w:jc w:val="left"/>
      </w:pPr>
      <w:r>
        <w:rPr>
          <w:rFonts w:ascii="Arial" w:cs="Arial" w:eastAsia="Arial" w:hAnsi="Arial"/>
          <w:b/>
          <w:bCs/>
          <w:i w:val="false"/>
          <w:iCs w:val="false"/>
          <w:caps w:val="false"/>
          <w:color w:val="1A1A1F"/>
          <w:sz w:val="20"/>
          <w:szCs w:val="20"/>
        </w:rPr>
        <w:t xml:space="preserve">Q10. What does Vektor cost?</w:t>
      </w:r>
    </w:p>
    <w:p>
      <w:pPr>
        <w:spacing w:after="100" w:before="0" w:line="276"/>
        <w:jc w:val="both"/>
      </w:pPr>
      <w:r>
        <w:rPr>
          <w:rFonts w:ascii="Arial" w:cs="Arial" w:eastAsia="Arial" w:hAnsi="Arial"/>
          <w:b w:val="false"/>
          <w:bCs w:val="false"/>
          <w:i w:val="false"/>
          <w:iCs w:val="false"/>
          <w:caps w:val="false"/>
          <w:color w:val="1A1A1F"/>
          <w:sz w:val="19"/>
          <w:szCs w:val="19"/>
        </w:rPr>
        <w:t xml:space="preserve">Pricing is discussed directly in the Founding Mandate conversation. Founding Mandate terms reflect the early-stage nature of the partnership and are structured to align incentives between the platform and the partner. Contact contact@investpuppy.com to begin that conversation.</w:t>
      </w:r>
    </w:p>
    <w:p>
      <w:pPr>
        <w:spacing w:after="60" w:before="200" w:line="276"/>
        <w:jc w:val="left"/>
      </w:pPr>
      <w:r>
        <w:rPr>
          <w:rFonts w:ascii="Arial" w:cs="Arial" w:eastAsia="Arial" w:hAnsi="Arial"/>
          <w:b/>
          <w:bCs/>
          <w:i w:val="false"/>
          <w:iCs w:val="false"/>
          <w:caps w:val="false"/>
          <w:color w:val="1A1A1F"/>
          <w:sz w:val="20"/>
          <w:szCs w:val="20"/>
        </w:rPr>
        <w:t xml:space="preserve">Q11. Is Vektor regulated?</w:t>
      </w:r>
    </w:p>
    <w:p>
      <w:pPr>
        <w:spacing w:after="100" w:before="0" w:line="276"/>
        <w:jc w:val="both"/>
      </w:pPr>
      <w:r>
        <w:rPr>
          <w:rFonts w:ascii="Arial" w:cs="Arial" w:eastAsia="Arial" w:hAnsi="Arial"/>
          <w:b w:val="false"/>
          <w:bCs w:val="false"/>
          <w:i w:val="false"/>
          <w:iCs w:val="false"/>
          <w:caps w:val="false"/>
          <w:color w:val="1A1A1F"/>
          <w:sz w:val="19"/>
          <w:szCs w:val="19"/>
        </w:rPr>
        <w:t xml:space="preserve">Vektor is a portfolio construction and management platform. Regulatory obligations — licensing, client suitability, reporting — remain with the portfolio manager and the firm operating the platform. Vektor provides the audit trail and compliance documentation that supports those obligations. Specific regulatory standing and applicable permissions by jurisdiction are discussed in the Founding Mandate due diligence process.</w:t>
      </w:r>
    </w:p>
    <w:p>
      <w:pPr>
        <w:spacing w:after="60" w:before="40" w:line="276"/>
        <w:jc w:val="left"/>
      </w:pPr>
      <w:r>
        <w:rPr>
          <w:rFonts w:ascii="Arial" w:cs="Arial" w:eastAsia="Arial" w:hAnsi="Arial"/>
          <w:b w:val="false"/>
          <w:bCs w:val="false"/>
          <w:i/>
          <w:iCs/>
          <w:caps w:val="false"/>
          <w:color w:val="9A9086"/>
          <w:sz w:val="17"/>
          <w:szCs w:val="17"/>
        </w:rPr>
        <w:t xml:space="preserve">See: WP-06: Audit Trail &amp; Compliance, WP-08: AI as Instrument</w:t>
      </w:r>
    </w:p>
    <w:p>
      <w:pPr>
        <w:spacing w:after="60" w:before="200" w:line="276"/>
        <w:jc w:val="left"/>
      </w:pPr>
      <w:r>
        <w:rPr>
          <w:rFonts w:ascii="Arial" w:cs="Arial" w:eastAsia="Arial" w:hAnsi="Arial"/>
          <w:b/>
          <w:bCs/>
          <w:i w:val="false"/>
          <w:iCs w:val="false"/>
          <w:caps w:val="false"/>
          <w:color w:val="1A1A1F"/>
          <w:sz w:val="20"/>
          <w:szCs w:val="20"/>
        </w:rPr>
        <w:t xml:space="preserve">Q12. How do I get started?</w:t>
      </w:r>
    </w:p>
    <w:p>
      <w:pPr>
        <w:spacing w:after="100" w:before="0" w:line="276"/>
        <w:jc w:val="both"/>
      </w:pPr>
      <w:r>
        <w:rPr>
          <w:rFonts w:ascii="Arial" w:cs="Arial" w:eastAsia="Arial" w:hAnsi="Arial"/>
          <w:b w:val="false"/>
          <w:bCs w:val="false"/>
          <w:i w:val="false"/>
          <w:iCs w:val="false"/>
          <w:caps w:val="false"/>
          <w:color w:val="1A1A1F"/>
          <w:sz w:val="19"/>
          <w:szCs w:val="19"/>
        </w:rPr>
        <w:t xml:space="preserve">Reach out to contact@investpuppy.com or visit investpuppy.com. The first conversation is about understanding your current workflow, your client base, and whether Vektor is the right fit — there is no commitment required. If you prefer, it can be covered by mutual NDA from the outset.</w:t>
      </w:r>
    </w:p>
    <w:p>
      <w:pPr>
        <w:pBdr>
          <w:bottom w:val="single" w:color="D0CCCA" w:sz="4" w:space="2"/>
        </w:pBdr>
        <w:spacing w:after="80" w:before="120"/>
      </w:pPr>
    </w:p>
    <w:p>
      <w:pPr>
        <w:spacing w:after="60" w:before="0" w:line="276"/>
        <w:jc w:val="center"/>
      </w:pPr>
      <w:r>
        <w:rPr>
          <w:rFonts w:ascii="Arial" w:cs="Arial" w:eastAsia="Arial" w:hAnsi="Arial"/>
          <w:b w:val="false"/>
          <w:bCs w:val="false"/>
          <w:i w:val="false"/>
          <w:iCs w:val="false"/>
          <w:caps w:val="false"/>
          <w:color w:val="9A9086"/>
          <w:sz w:val="15"/>
          <w:szCs w:val="15"/>
        </w:rPr>
        <w:t xml:space="preserve">investpuppy.com  ·  contact@investpuppy.com  ·  IP-FAQ-260501-1.0  ·  Copyright 2026 InvestPuppy</w:t>
      </w:r>
    </w:p>
    <w:sectPr>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888884"/>
      </w:pBdr>
      <w:tabs>
        <w:tab w:val="right" w:pos="9638"/>
      </w:tabs>
      <w:spacing w:before="0" w:after="0"/>
    </w:pPr>
    <w:r>
      <w:drawing>
        <wp:inline xmlns:a="http://schemas.openxmlformats.org/drawingml/2006/main" xmlns:pic="http://schemas.openxmlformats.org/drawingml/2006/picture">
          <wp:extent cx="1008000" cy="825431"/>
          <wp:docPr id="1" name="Picture 1"/>
          <wp:cNvGraphicFramePr>
            <a:graphicFrameLocks noChangeAspect="1"/>
          </wp:cNvGraphicFramePr>
          <a:graphic>
            <a:graphicData uri="http://schemas.openxmlformats.org/drawingml/2006/picture">
              <pic:pic>
                <pic:nvPicPr>
                  <pic:cNvPr id="0" name="IPHorizontalInvClear.png"/>
                  <pic:cNvPicPr/>
                </pic:nvPicPr>
                <pic:blipFill>
                  <a:blip r:embed="rId1"/>
                  <a:stretch>
                    <a:fillRect/>
                  </a:stretch>
                </pic:blipFill>
                <pic:spPr>
                  <a:xfrm>
                    <a:off x="0" y="0"/>
                    <a:ext cx="1008000" cy="825431"/>
                  </a:xfrm>
                  <a:prstGeom prst="rect"/>
                </pic:spPr>
              </pic:pic>
            </a:graphicData>
          </a:graphic>
        </wp:inline>
      </w:drawing>
    </w:r>
    <w:r>
      <w:tab/>
    </w:r>
    <w:r>
      <w:rPr>
        <w:sz w:val="11"/>
        <w:color w:val="666660"/>
      </w:rPr>
      <w:t>investpuppy.com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Vektor FAQ</dc:title>
  <dc:creator>InvestPuppy</dc:creator>
  <cp:lastModifiedBy>Un-named</cp:lastModifiedBy>
  <cp:revision>1</cp:revision>
  <dcterms:created xsi:type="dcterms:W3CDTF">2026-05-06T02:04:20.914Z</dcterms:created>
  <dcterms:modified xsi:type="dcterms:W3CDTF">2026-05-06T02:04:20.914Z</dcterms:modified>
</cp:coreProperties>
</file>

<file path=docProps/custom.xml><?xml version="1.0" encoding="utf-8"?>
<Properties xmlns="http://schemas.openxmlformats.org/officeDocument/2006/custom-properties" xmlns:vt="http://schemas.openxmlformats.org/officeDocument/2006/docPropsVTypes"/>
</file>