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r>
        <w:t xml:space="preserve"/>
      </w:r>
    </w:p>
    <w:p>
      <w:pPr>
        <w:pBdr>
          <w:bottom w:val="single" w:color="C8A96E" w:sz="12" w:space="4"/>
        </w:pBdr>
        <w:spacing w:after="120"/>
      </w:pPr>
    </w:p>
    <w:p>
      <w:pPr>
        <w:spacing w:after="0" w:before="80"/>
      </w:pPr>
      <w:r>
        <w:t xml:space="preserve"/>
      </w:r>
    </w:p>
    <w:p>
      <w:pPr>
        <w:spacing w:after="60" w:before="0"/>
      </w:pPr>
      <w:r>
        <w:rPr>
          <w:rFonts w:ascii="Arial" w:cs="Arial" w:eastAsia="Arial" w:hAnsi="Arial"/>
          <w:color w:val="9A9086"/>
          <w:spacing w:val="80"/>
          <w:sz w:val="16"/>
          <w:szCs w:val="16"/>
        </w:rPr>
        <w:t xml:space="preserve">THE CASE FOR VEKTOR</w:t>
      </w:r>
    </w:p>
    <w:p>
      <w:pPr>
        <w:spacing w:after="120" w:before="0"/>
      </w:pPr>
      <w:r>
        <w:rPr>
          <w:rFonts w:ascii="Arial" w:cs="Arial" w:eastAsia="Arial" w:hAnsi="Arial"/>
          <w:b/>
          <w:bCs/>
          <w:color w:val="1A1A1F"/>
          <w:sz w:val="52"/>
          <w:szCs w:val="52"/>
        </w:rPr>
        <w:t xml:space="preserve">Why Vektor?</w:t>
      </w:r>
    </w:p>
    <w:p>
      <w:pPr>
        <w:spacing w:after="240" w:before="0"/>
      </w:pPr>
      <w:r>
        <w:rPr>
          <w:rFonts w:ascii="Arial" w:cs="Arial" w:eastAsia="Arial" w:hAnsi="Arial"/>
          <w:i/>
          <w:iCs/>
          <w:color w:val="9A9086"/>
          <w:sz w:val="22"/>
          <w:szCs w:val="22"/>
        </w:rPr>
        <w:t xml:space="preserve">The commercial argument for institutional-grade quantitative infrastructure, without the institutional overhead.</w:t>
      </w:r>
    </w:p>
    <w:p>
      <w:pPr>
        <w:pBdr>
          <w:bottom w:val="single" w:color="D0CCCA" w:sz="4" w:space="2"/>
        </w:pBdr>
        <w:spacing w:after="80"/>
      </w:pPr>
    </w:p>
    <w:p>
      <w:pPr>
        <w:spacing w:after="0" w:before="80"/>
      </w:pPr>
      <w:r>
        <w:t xml:space="preserve"/>
      </w:r>
    </w:p>
    <w:p>
      <w:pPr>
        <w:spacing w:after="60" w:before="0"/>
      </w:pPr>
      <w:r>
        <w:rPr>
          <w:rFonts w:ascii="Arial" w:cs="Arial" w:eastAsia="Arial" w:hAnsi="Arial"/>
          <w:color w:val="9A9086"/>
          <w:sz w:val="16"/>
          <w:szCs w:val="16"/>
        </w:rPr>
        <w:t xml:space="preserve">For professional and institutional investors only</w:t>
      </w:r>
    </w:p>
    <w:p>
      <w:r>
        <w:rPr>
          <w:rFonts w:ascii="Arial" w:cs="Arial" w:eastAsia="Arial" w:hAnsi="Arial"/>
          <w:color w:val="9A9086"/>
          <w:sz w:val="16"/>
          <w:szCs w:val="16"/>
        </w:rPr>
        <w:t xml:space="preserve">May 2026</w:t>
      </w:r>
    </w:p>
    <w:p>
      <w:r>
        <w:rPr>
          <w:rFonts w:ascii="Arial" w:cs="Arial" w:eastAsia="Arial" w:hAnsi="Arial"/>
          <w:color w:val="C8A96E"/>
          <w:sz w:val="16"/>
          <w:szCs w:val="16"/>
        </w:rPr>
        <w:t xml:space="preserve">investpuppy.com</w:t>
      </w:r>
    </w:p>
    <w:p>
      <w:pPr>
        <w:pageBreakBefore/>
      </w:pPr>
      <w:r>
        <w:t xml:space="preserve"/>
      </w:r>
    </w:p>
    <w:p>
      <w:pPr>
        <w:spacing w:after="60" w:before="160"/>
      </w:pPr>
      <w:r>
        <w:rPr>
          <w:rFonts w:ascii="Arial" w:cs="Arial" w:eastAsia="Arial" w:hAnsi="Arial"/>
          <w:b/>
          <w:bCs/>
          <w:color w:val="C8A96E"/>
          <w:spacing w:val="80"/>
          <w:sz w:val="14"/>
          <w:szCs w:val="14"/>
        </w:rPr>
        <w:t xml:space="preserve">A NOTE ON THE NAME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
        <w:gridCol w:w="9518"/>
      </w:tblGrid>
      <w:tr>
        <w:tc>
          <w:tcPr>
            <w:tcW w:type="dxa" w:w="120"/>
            <w:tcBorders>
              <w:top w:val="none"/>
              <w:left w:val="none"/>
              <w:bottom w:val="none"/>
              <w:right w:val="none"/>
            </w:tcBorders>
            <w:shd w:fill="C8A96E" w:val="clear"/>
          </w:tcPr>
          <w:p>
            <w:r>
              <w:t xml:space="preserve"/>
            </w:r>
          </w:p>
        </w:tc>
        <w:tc>
          <w:tcPr>
            <w:tcW w:type="dxa" w:w="9518"/>
            <w:tcBorders>
              <w:top w:val="none"/>
              <w:left w:val="none"/>
              <w:bottom w:val="none"/>
              <w:right w:val="none"/>
            </w:tcBorders>
            <w:shd w:fill="F2F1EF" w:val="clear"/>
            <w:tcMar>
              <w:top w:type="dxa" w:w="120"/>
              <w:left w:type="dxa" w:w="160"/>
              <w:bottom w:type="dxa" w:w="120"/>
              <w:right w:type="dxa" w:w="160"/>
            </w:tcMar>
          </w:tcPr>
          <w:p>
            <w:pPr>
              <w:jc w:val="both"/>
            </w:pPr>
            <w:r>
              <w:rPr>
                <w:rFonts w:ascii="Arial" w:cs="Arial" w:eastAsia="Arial" w:hAnsi="Arial"/>
                <w:i/>
                <w:iCs/>
                <w:color w:val="1A1A1F"/>
                <w:sz w:val="18"/>
                <w:szCs w:val="18"/>
              </w:rPr>
              <w:t xml:space="preserve">The investment industry has no shortage of firms that look the part. We built one more interested in performing it. InvestPuppy is a deliberate choice — a signal that we have no interest in replicating the infrastructure, the attitude, or the self-importance of the firms we are here to displace. Vektor is what that conviction produced. Not built by outsiders imagining what the industry needs — but by practitioners who spent decades inside it, and chose to do something better.</w:t>
            </w:r>
          </w:p>
        </w:tc>
      </w:tr>
    </w:tbl>
    <w:p>
      <w:pPr>
        <w:spacing w:after="0" w:before="120"/>
      </w:pPr>
      <w:r>
        <w:t xml:space="preserve"/>
      </w:r>
    </w:p>
    <w:p>
      <w:pPr>
        <w:spacing w:after="60" w:before="160"/>
      </w:pPr>
      <w:r>
        <w:rPr>
          <w:rFonts w:ascii="Arial" w:cs="Arial" w:eastAsia="Arial" w:hAnsi="Arial"/>
          <w:b/>
          <w:bCs/>
          <w:color w:val="C8A96E"/>
          <w:spacing w:val="80"/>
          <w:sz w:val="14"/>
          <w:szCs w:val="14"/>
        </w:rPr>
        <w:t xml:space="preserve">THE CASE FOR VEKTOR</w:t>
      </w:r>
    </w:p>
    <w:p>
      <w:pPr>
        <w:pStyle w:val="Heading1"/>
        <w:spacing w:after="120" w:before="0"/>
      </w:pPr>
      <w:r>
        <w:rPr>
          <w:rFonts w:ascii="Arial" w:cs="Arial" w:eastAsia="Arial" w:hAnsi="Arial"/>
          <w:b/>
          <w:bCs/>
          <w:color w:val="1A1A1F"/>
          <w:sz w:val="40"/>
          <w:szCs w:val="40"/>
        </w:rPr>
        <w:t xml:space="preserve">Giving wealth teams the quantitative infrastructure that institutional asset managers take for granted.</w:t>
      </w:r>
    </w:p>
    <w:p>
      <w:pPr>
        <w:spacing w:after="120" w:before="0"/>
        <w:jc w:val="both"/>
      </w:pPr>
      <w:r>
        <w:rPr>
          <w:rFonts w:ascii="Arial" w:cs="Arial" w:eastAsia="Arial" w:hAnsi="Arial"/>
          <w:i/>
          <w:iCs/>
          <w:color w:val="9A9086"/>
          <w:sz w:val="22"/>
          <w:szCs w:val="22"/>
        </w:rPr>
        <w:t xml:space="preserve">The tools that generate genuine alpha — quantitative portfolio construction, systematic signal selection, rigorous backtesting — have historically required institutional infrastructure, institutional headcount, and institutional budgets. Vektor resolves that tension completely. Without the cost, the complexity, or the minimum AUM that have always made it inaccessible.</w:t>
      </w:r>
    </w:p>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09"/>
      </w:tblGrid>
      <w:tr>
        <w:tc>
          <w:tcPr>
            <w:tcW w:type="dxa" w:w="2409"/>
            <w:tcBorders>
              <w:top w:val="none"/>
              <w:left w:val="single" w:color="2A2828" w:sz="4"/>
              <w:bottom w:val="none"/>
              <w:right w:val="none"/>
            </w:tcBorders>
            <w:shd w:fill="0A0A0F" w:val="clear"/>
            <w:tcMar>
              <w:top w:type="dxa" w:w="120"/>
              <w:left w:type="dxa" w:w="120"/>
              <w:bottom w:type="dxa" w:w="60"/>
              <w:right w:type="dxa" w:w="120"/>
            </w:tcMar>
          </w:tcPr>
          <w:p>
            <w:pPr>
              <w:jc w:val="center"/>
            </w:pPr>
            <w:r>
              <w:rPr>
                <w:rFonts w:ascii="Arial" w:cs="Arial" w:eastAsia="Arial" w:hAnsi="Arial"/>
                <w:b/>
                <w:bCs/>
                <w:color w:val="C8A96E"/>
                <w:sz w:val="44"/>
                <w:szCs w:val="44"/>
              </w:rPr>
              <w:t xml:space="preserve">10,000</w:t>
            </w:r>
          </w:p>
        </w:tc>
        <w:tc>
          <w:tcPr>
            <w:tcW w:type="dxa" w:w="2409"/>
            <w:tcBorders>
              <w:top w:val="none"/>
              <w:left w:val="single" w:color="2A2828" w:sz="4"/>
              <w:bottom w:val="none"/>
              <w:right w:val="none"/>
            </w:tcBorders>
            <w:shd w:fill="0A0A0F" w:val="clear"/>
            <w:tcMar>
              <w:top w:type="dxa" w:w="120"/>
              <w:left w:type="dxa" w:w="120"/>
              <w:bottom w:type="dxa" w:w="60"/>
              <w:right w:type="dxa" w:w="120"/>
            </w:tcMar>
          </w:tcPr>
          <w:p>
            <w:pPr>
              <w:jc w:val="center"/>
            </w:pPr>
            <w:r>
              <w:rPr>
                <w:rFonts w:ascii="Arial" w:cs="Arial" w:eastAsia="Arial" w:hAnsi="Arial"/>
                <w:b/>
                <w:bCs/>
                <w:color w:val="C8A96E"/>
                <w:sz w:val="44"/>
                <w:szCs w:val="44"/>
              </w:rPr>
              <w:t xml:space="preserve">99.94%</w:t>
            </w:r>
          </w:p>
        </w:tc>
        <w:tc>
          <w:tcPr>
            <w:tcW w:type="dxa" w:w="2409"/>
            <w:tcBorders>
              <w:top w:val="none"/>
              <w:left w:val="single" w:color="2A2828" w:sz="4"/>
              <w:bottom w:val="none"/>
              <w:right w:val="none"/>
            </w:tcBorders>
            <w:shd w:fill="0A0A0F" w:val="clear"/>
            <w:tcMar>
              <w:top w:type="dxa" w:w="120"/>
              <w:left w:type="dxa" w:w="120"/>
              <w:bottom w:type="dxa" w:w="60"/>
              <w:right w:type="dxa" w:w="120"/>
            </w:tcMar>
          </w:tcPr>
          <w:p>
            <w:pPr>
              <w:jc w:val="center"/>
            </w:pPr>
            <w:r>
              <w:rPr>
                <w:rFonts w:ascii="Arial" w:cs="Arial" w:eastAsia="Arial" w:hAnsi="Arial"/>
                <w:b/>
                <w:bCs/>
                <w:color w:val="C8A96E"/>
                <w:sz w:val="44"/>
                <w:szCs w:val="44"/>
              </w:rPr>
              <w:t xml:space="preserve">6</w:t>
            </w:r>
          </w:p>
        </w:tc>
        <w:tc>
          <w:tcPr>
            <w:tcW w:type="dxa" w:w="2409"/>
            <w:tcBorders>
              <w:top w:val="none"/>
              <w:left w:val="single" w:color="2A2828" w:sz="4"/>
              <w:bottom w:val="none"/>
              <w:right w:val="none"/>
            </w:tcBorders>
            <w:shd w:fill="0A0A0F" w:val="clear"/>
            <w:tcMar>
              <w:top w:type="dxa" w:w="120"/>
              <w:left w:type="dxa" w:w="120"/>
              <w:bottom w:type="dxa" w:w="60"/>
              <w:right w:type="dxa" w:w="120"/>
            </w:tcMar>
          </w:tcPr>
          <w:p>
            <w:pPr>
              <w:jc w:val="center"/>
            </w:pPr>
            <w:r>
              <w:rPr>
                <w:rFonts w:ascii="Arial" w:cs="Arial" w:eastAsia="Arial" w:hAnsi="Arial"/>
                <w:b/>
                <w:bCs/>
                <w:color w:val="C8A96E"/>
                <w:sz w:val="44"/>
                <w:szCs w:val="44"/>
              </w:rPr>
              <w:t xml:space="preserve">3 yrs</w:t>
            </w:r>
          </w:p>
        </w:tc>
      </w:tr>
      <w:tr>
        <w:tc>
          <w:tcPr>
            <w:tcW w:type="dxa" w:w="2409"/>
            <w:tcBorders>
              <w:top w:val="none"/>
              <w:left w:val="single" w:color="2A2828" w:sz="4"/>
              <w:bottom w:val="none"/>
              <w:right w:val="none"/>
            </w:tcBorders>
            <w:shd w:fill="0A0A0F" w:val="clear"/>
            <w:tcMar>
              <w:top w:type="dxa" w:w="0"/>
              <w:left w:type="dxa" w:w="120"/>
              <w:bottom w:type="dxa" w:w="80"/>
              <w:right w:type="dxa" w:w="120"/>
            </w:tcMar>
          </w:tcPr>
          <w:p>
            <w:pPr>
              <w:jc w:val="center"/>
            </w:pPr>
            <w:r>
              <w:rPr>
                <w:rFonts w:ascii="Arial" w:cs="Arial" w:eastAsia="Arial" w:hAnsi="Arial"/>
                <w:b/>
                <w:bCs/>
                <w:color w:val="E8E8EC"/>
                <w:sz w:val="16"/>
                <w:szCs w:val="16"/>
              </w:rPr>
              <w:t xml:space="preserve">simulations per strategy</w:t>
            </w:r>
          </w:p>
          <w:p>
            <w:pPr>
              <w:jc w:val="center"/>
            </w:pPr>
            <w:r>
              <w:rPr>
                <w:rFonts w:ascii="Arial" w:cs="Arial" w:eastAsia="Arial" w:hAnsi="Arial"/>
                <w:color w:val="9A9086"/>
                <w:sz w:val="14"/>
                <w:szCs w:val="14"/>
              </w:rPr>
              <w:t xml:space="preserve">Efficient frontier mapped across 10,000 portfolio configurations. MPT identifies the max-Sharpe allocation.</w:t>
            </w:r>
          </w:p>
        </w:tc>
        <w:tc>
          <w:tcPr>
            <w:tcW w:type="dxa" w:w="2409"/>
            <w:tcBorders>
              <w:top w:val="none"/>
              <w:left w:val="single" w:color="2A2828" w:sz="4"/>
              <w:bottom w:val="none"/>
              <w:right w:val="none"/>
            </w:tcBorders>
            <w:shd w:fill="0A0A0F" w:val="clear"/>
            <w:tcMar>
              <w:top w:type="dxa" w:w="0"/>
              <w:left w:type="dxa" w:w="120"/>
              <w:bottom w:type="dxa" w:w="80"/>
              <w:right w:type="dxa" w:w="120"/>
            </w:tcMar>
          </w:tcPr>
          <w:p>
            <w:pPr>
              <w:jc w:val="center"/>
            </w:pPr>
            <w:r>
              <w:rPr>
                <w:rFonts w:ascii="Arial" w:cs="Arial" w:eastAsia="Arial" w:hAnsi="Arial"/>
                <w:b/>
                <w:bCs/>
                <w:color w:val="E8E8EC"/>
                <w:sz w:val="16"/>
                <w:szCs w:val="16"/>
              </w:rPr>
              <w:t xml:space="preserve">capital allocation efficiency</w:t>
            </w:r>
          </w:p>
          <w:p>
            <w:pPr>
              <w:jc w:val="center"/>
            </w:pPr>
            <w:r>
              <w:rPr>
                <w:rFonts w:ascii="Arial" w:cs="Arial" w:eastAsia="Arial" w:hAnsi="Arial"/>
                <w:color w:val="9A9086"/>
                <w:sz w:val="14"/>
                <w:szCs w:val="14"/>
              </w:rPr>
              <w:t xml:space="preserve">Of target allocation actually deployed. The gap is drag. Vektor eliminates it.</w:t>
            </w:r>
          </w:p>
        </w:tc>
        <w:tc>
          <w:tcPr>
            <w:tcW w:type="dxa" w:w="2409"/>
            <w:tcBorders>
              <w:top w:val="none"/>
              <w:left w:val="single" w:color="2A2828" w:sz="4"/>
              <w:bottom w:val="none"/>
              <w:right w:val="none"/>
            </w:tcBorders>
            <w:shd w:fill="0A0A0F" w:val="clear"/>
            <w:tcMar>
              <w:top w:type="dxa" w:w="0"/>
              <w:left w:type="dxa" w:w="120"/>
              <w:bottom w:type="dxa" w:w="80"/>
              <w:right w:type="dxa" w:w="120"/>
            </w:tcMar>
          </w:tcPr>
          <w:p>
            <w:pPr>
              <w:jc w:val="center"/>
            </w:pPr>
            <w:r>
              <w:rPr>
                <w:rFonts w:ascii="Arial" w:cs="Arial" w:eastAsia="Arial" w:hAnsi="Arial"/>
                <w:b/>
                <w:bCs/>
                <w:color w:val="E8E8EC"/>
                <w:sz w:val="16"/>
                <w:szCs w:val="16"/>
              </w:rPr>
              <w:t xml:space="preserve">signals per instrument</w:t>
            </w:r>
          </w:p>
          <w:p>
            <w:pPr>
              <w:jc w:val="center"/>
            </w:pPr>
            <w:r>
              <w:rPr>
                <w:rFonts w:ascii="Arial" w:cs="Arial" w:eastAsia="Arial" w:hAnsi="Arial"/>
                <w:color w:val="9A9086"/>
                <w:sz w:val="14"/>
                <w:szCs w:val="14"/>
              </w:rPr>
              <w:t xml:space="preserve">Technical indicators evaluated per instrument across three years of price history.</w:t>
            </w:r>
          </w:p>
        </w:tc>
        <w:tc>
          <w:tcPr>
            <w:tcW w:type="dxa" w:w="2409"/>
            <w:tcBorders>
              <w:top w:val="none"/>
              <w:left w:val="single" w:color="2A2828" w:sz="4"/>
              <w:bottom w:val="none"/>
              <w:right w:val="none"/>
            </w:tcBorders>
            <w:shd w:fill="0A0A0F" w:val="clear"/>
            <w:tcMar>
              <w:top w:type="dxa" w:w="0"/>
              <w:left w:type="dxa" w:w="120"/>
              <w:bottom w:type="dxa" w:w="80"/>
              <w:right w:type="dxa" w:w="120"/>
            </w:tcMar>
          </w:tcPr>
          <w:p>
            <w:pPr>
              <w:jc w:val="center"/>
            </w:pPr>
            <w:r>
              <w:rPr>
                <w:rFonts w:ascii="Arial" w:cs="Arial" w:eastAsia="Arial" w:hAnsi="Arial"/>
                <w:b/>
                <w:bCs/>
                <w:color w:val="E8E8EC"/>
                <w:sz w:val="16"/>
                <w:szCs w:val="16"/>
              </w:rPr>
              <w:t xml:space="preserve">daily data, refreshed daily</w:t>
            </w:r>
          </w:p>
          <w:p>
            <w:pPr>
              <w:jc w:val="center"/>
            </w:pPr>
            <w:r>
              <w:rPr>
                <w:rFonts w:ascii="Arial" w:cs="Arial" w:eastAsia="Arial" w:hAnsi="Arial"/>
                <w:color w:val="9A9086"/>
                <w:sz w:val="14"/>
                <w:szCs w:val="14"/>
              </w:rPr>
              <w:t xml:space="preserve">Of price data updated every day. Signal selection reflects current market behaviour.</w:t>
            </w:r>
          </w:p>
        </w:tc>
      </w:tr>
    </w:tbl>
    <w:p>
      <w:pPr>
        <w:spacing w:after="0" w:before="160"/>
      </w:pPr>
      <w:r>
        <w:t xml:space="preserve"/>
      </w:r>
    </w:p>
    <w:p>
      <w:pPr>
        <w:pBdr>
          <w:bottom w:val="single" w:color="D0CCCA" w:sz="4" w:space="2"/>
        </w:pBdr>
        <w:spacing w:after="80"/>
      </w:pPr>
    </w:p>
    <w:p>
      <w:pPr>
        <w:pStyle w:val="Heading2"/>
        <w:spacing w:after="80" w:before="200"/>
      </w:pPr>
      <w:r>
        <w:rPr>
          <w:rFonts w:ascii="Arial" w:cs="Arial" w:eastAsia="Arial" w:hAnsi="Arial"/>
          <w:b/>
          <w:bCs/>
          <w:color w:val="1A1A1F"/>
          <w:sz w:val="28"/>
          <w:szCs w:val="28"/>
        </w:rPr>
        <w:t xml:space="preserve">01 · The Problem with the Alternatives</w:t>
      </w:r>
    </w:p>
    <w:p>
      <w:pPr>
        <w:spacing w:after="120" w:before="0"/>
        <w:jc w:val="both"/>
      </w:pPr>
      <w:r>
        <w:rPr>
          <w:rFonts w:ascii="Arial" w:cs="Arial" w:eastAsia="Arial" w:hAnsi="Arial"/>
          <w:b w:val="false"/>
          <w:bCs w:val="false"/>
          <w:i w:val="false"/>
          <w:iCs w:val="false"/>
          <w:color w:val="1A1A1F"/>
          <w:sz w:val="20"/>
          <w:szCs w:val="20"/>
        </w:rPr>
        <w:t xml:space="preserve">The status quo is broken in three distinct ways.</w:t>
      </w:r>
    </w:p>
    <w:p>
      <w:pPr>
        <w:spacing w:after="60" w:before="160"/>
      </w:pPr>
      <w:r>
        <w:rPr>
          <w:rFonts w:ascii="Arial" w:cs="Arial" w:eastAsia="Arial" w:hAnsi="Arial"/>
          <w:b/>
          <w:bCs/>
          <w:color w:val="C8A96E"/>
          <w:spacing w:val="60"/>
          <w:sz w:val="16"/>
          <w:szCs w:val="16"/>
        </w:rPr>
        <w:t xml:space="preserve">SPREADSHEET-BASED ALLOCATION</w:t>
      </w:r>
    </w:p>
    <w:p>
      <w:pPr>
        <w:spacing w:after="120" w:before="0"/>
        <w:jc w:val="both"/>
      </w:pPr>
      <w:r>
        <w:rPr>
          <w:rFonts w:ascii="Arial" w:cs="Arial" w:eastAsia="Arial" w:hAnsi="Arial"/>
          <w:b w:val="false"/>
          <w:bCs w:val="false"/>
          <w:i w:val="false"/>
          <w:iCs w:val="false"/>
          <w:color w:val="1A1A1F"/>
          <w:sz w:val="20"/>
          <w:szCs w:val="20"/>
        </w:rPr>
        <w:t xml:space="preserve">Most wealth teams still build portfolios in Excel. Weights are set by intuition, signals are applied inconsistently, and diversification is assumed rather than verified. The result is portfolios that feel constructed but are not — they carry hidden correlations, unquantified risk, and no systematic edge.</w:t>
      </w:r>
    </w:p>
    <w:p>
      <w:pPr>
        <w:spacing w:after="60" w:before="160"/>
      </w:pPr>
      <w:r>
        <w:rPr>
          <w:rFonts w:ascii="Arial" w:cs="Arial" w:eastAsia="Arial" w:hAnsi="Arial"/>
          <w:b/>
          <w:bCs/>
          <w:color w:val="C8A96E"/>
          <w:spacing w:val="60"/>
          <w:sz w:val="16"/>
          <w:szCs w:val="16"/>
        </w:rPr>
        <w:t xml:space="preserve">INSTITUTIONAL QUANT PLATFORMS</w:t>
      </w:r>
    </w:p>
    <w:p>
      <w:pPr>
        <w:spacing w:after="120" w:before="0"/>
        <w:jc w:val="both"/>
      </w:pPr>
      <w:r>
        <w:rPr>
          <w:rFonts w:ascii="Arial" w:cs="Arial" w:eastAsia="Arial" w:hAnsi="Arial"/>
          <w:b w:val="false"/>
          <w:bCs w:val="false"/>
          <w:i w:val="false"/>
          <w:iCs w:val="false"/>
          <w:color w:val="1A1A1F"/>
          <w:sz w:val="20"/>
          <w:szCs w:val="20"/>
        </w:rPr>
        <w:t xml:space="preserve">Bloomberg PORT, FactSet, and their peers offer genuine quantitative rigour — but at a price point, complexity level, and minimum AUM threshold that places them firmly out of reach for independent wealth teams, boutique family offices, and emerging market managers.</w:t>
      </w:r>
    </w:p>
    <w:p>
      <w:pPr>
        <w:spacing w:after="60" w:before="160"/>
      </w:pPr>
      <w:r>
        <w:rPr>
          <w:rFonts w:ascii="Arial" w:cs="Arial" w:eastAsia="Arial" w:hAnsi="Arial"/>
          <w:b/>
          <w:bCs/>
          <w:color w:val="C8A96E"/>
          <w:spacing w:val="60"/>
          <w:sz w:val="16"/>
          <w:szCs w:val="16"/>
        </w:rPr>
        <w:t xml:space="preserve">ROBO-ADVISORY AND ALGORITHMIC RETAIL TOOLS</w:t>
      </w:r>
    </w:p>
    <w:p>
      <w:pPr>
        <w:spacing w:after="120" w:before="0"/>
        <w:jc w:val="both"/>
      </w:pPr>
      <w:r>
        <w:rPr>
          <w:rFonts w:ascii="Arial" w:cs="Arial" w:eastAsia="Arial" w:hAnsi="Arial"/>
          <w:b w:val="false"/>
          <w:bCs w:val="false"/>
          <w:i w:val="false"/>
          <w:iCs w:val="false"/>
          <w:color w:val="1A1A1F"/>
          <w:sz w:val="20"/>
          <w:szCs w:val="20"/>
        </w:rPr>
        <w:t xml:space="preserve">The consumer fintech wave produced automated portfolio tools built for retail investors — standardised risk profiles, limited instrument universes, no transparency into the underlying methodology, and no capacity for bespoke, multi-currency, multi-mandate complexity.</w:t>
      </w:r>
    </w:p>
    <w:p>
      <w:pPr>
        <w:spacing w:after="0" w:before="80"/>
      </w:pPr>
      <w:r>
        <w:t xml:space="preserve"/>
      </w:r>
    </w:p>
    <w:p>
      <w:pPr>
        <w:pStyle w:val="Heading2"/>
        <w:spacing w:after="80" w:before="200"/>
      </w:pPr>
      <w:r>
        <w:rPr>
          <w:rFonts w:ascii="Arial" w:cs="Arial" w:eastAsia="Arial" w:hAnsi="Arial"/>
          <w:b/>
          <w:bCs/>
          <w:color w:val="1A1A1F"/>
          <w:sz w:val="28"/>
          <w:szCs w:val="28"/>
        </w:rPr>
        <w:t xml:space="preserve">02 · What Vektor Does Differently</w:t>
      </w:r>
    </w:p>
    <w:p>
      <w:pPr>
        <w:spacing w:after="120" w:before="0"/>
        <w:jc w:val="both"/>
      </w:pPr>
      <w:r>
        <w:rPr>
          <w:rFonts w:ascii="Arial" w:cs="Arial" w:eastAsia="Arial" w:hAnsi="Arial"/>
          <w:b/>
          <w:bCs/>
          <w:i w:val="false"/>
          <w:iCs w:val="false"/>
          <w:color w:val="1A1A1F"/>
          <w:sz w:val="20"/>
          <w:szCs w:val="20"/>
        </w:rPr>
        <w:t xml:space="preserve">Institutional rigour. Without the institutional overhead.</w:t>
      </w:r>
    </w:p>
    <w:p>
      <w:pPr>
        <w:spacing w:after="120" w:before="0"/>
        <w:jc w:val="both"/>
      </w:pPr>
      <w:r>
        <w:rPr>
          <w:rFonts w:ascii="Arial" w:cs="Arial" w:eastAsia="Arial" w:hAnsi="Arial"/>
          <w:b w:val="false"/>
          <w:bCs w:val="false"/>
          <w:i w:val="false"/>
          <w:iCs w:val="false"/>
          <w:color w:val="1A1A1F"/>
          <w:sz w:val="20"/>
          <w:szCs w:val="20"/>
        </w:rPr>
        <w:t xml:space="preserve">Vektor is built on a single premise: that the quantitative methods used by the world's best-capitalised investment teams are not inherently complex to deploy — they have simply never been packaged for the teams who need them most.</w:t>
      </w:r>
    </w:p>
    <w:p>
      <w:pPr>
        <w:spacing w:after="0" w:before="120"/>
      </w:pPr>
      <w:r>
        <w:t xml:space="preserve"/>
      </w:r>
    </w:p>
    <w:p>
      <w:pPr>
        <w:pBdr>
          <w:bottom w:val="single" w:color="D0CCCA" w:sz="4" w:space="2"/>
        </w:pBdr>
        <w:spacing w:after="80"/>
      </w:pPr>
    </w:p>
    <w:p>
      <w:pPr>
        <w:pStyle w:val="Heading2"/>
        <w:spacing w:after="80" w:before="200"/>
      </w:pPr>
      <w:r>
        <w:rPr>
          <w:rFonts w:ascii="Arial" w:cs="Arial" w:eastAsia="Arial" w:hAnsi="Arial"/>
          <w:b/>
          <w:bCs/>
          <w:color w:val="1A1A1F"/>
          <w:sz w:val="28"/>
          <w:szCs w:val="28"/>
        </w:rPr>
        <w:t xml:space="preserve">The Five Reasons</w:t>
      </w:r>
    </w:p>
    <w:p>
      <w:pPr>
        <w:spacing w:after="120" w:before="0"/>
        <w:jc w:val="both"/>
      </w:pPr>
      <w:r>
        <w:rPr>
          <w:rFonts w:ascii="Arial" w:cs="Arial" w:eastAsia="Arial" w:hAnsi="Arial"/>
          <w:b/>
          <w:bCs/>
          <w:i w:val="false"/>
          <w:iCs w:val="false"/>
          <w:color w:val="1A1A1F"/>
          <w:sz w:val="20"/>
          <w:szCs w:val="20"/>
        </w:rPr>
        <w:t xml:space="preserve">Five reasons sophisticated teams choose Vektor.</w:t>
      </w:r>
    </w:p>
    <w:p>
      <w:pPr>
        <w:spacing w:after="60" w:before="160"/>
      </w:pPr>
      <w:r>
        <w:rPr>
          <w:rFonts w:ascii="Arial" w:cs="Arial" w:eastAsia="Arial" w:hAnsi="Arial"/>
          <w:b/>
          <w:bCs/>
          <w:color w:val="C8A96E"/>
          <w:spacing w:val="60"/>
          <w:sz w:val="16"/>
          <w:szCs w:val="16"/>
        </w:rPr>
        <w:t xml:space="preserve">01  EVERY HOLDING GETS ITS OWN OPTIMISED SIGNAL.</w:t>
      </w:r>
    </w:p>
    <w:p>
      <w:pPr>
        <w:spacing w:after="120" w:before="0"/>
        <w:jc w:val="both"/>
      </w:pPr>
      <w:r>
        <w:rPr>
          <w:rFonts w:ascii="Arial" w:cs="Arial" w:eastAsia="Arial" w:hAnsi="Arial"/>
          <w:b w:val="false"/>
          <w:bCs w:val="false"/>
          <w:i w:val="false"/>
          <w:iCs w:val="false"/>
          <w:color w:val="1A1A1F"/>
          <w:sz w:val="20"/>
          <w:szCs w:val="20"/>
        </w:rPr>
        <w:t xml:space="preserve">Vektor runs a full grid search across six indicators — SMA, EMA, MACD, Bollinger Bands, RSI, and Stochastic Oscillator — against three years of each instrument's price history, selects the highest Sharpe configuration, and validates every live signal through an XGBoost classification layer. Each position is driven by the signal that actually worked for that specific instrument — not the signal that worked on average.</w:t>
      </w:r>
    </w:p>
    <w:p>
      <w:pPr>
        <w:spacing w:after="60" w:before="160"/>
      </w:pPr>
      <w:r>
        <w:rPr>
          <w:rFonts w:ascii="Arial" w:cs="Arial" w:eastAsia="Arial" w:hAnsi="Arial"/>
          <w:b/>
          <w:bCs/>
          <w:color w:val="C8A96E"/>
          <w:spacing w:val="60"/>
          <w:sz w:val="16"/>
          <w:szCs w:val="16"/>
        </w:rPr>
        <w:t xml:space="preserve">02  DIVERSIFICATION IS VERIFIED, NOT ASSUMED.</w:t>
      </w:r>
    </w:p>
    <w:p>
      <w:pPr>
        <w:spacing w:after="120" w:before="0"/>
        <w:jc w:val="both"/>
      </w:pPr>
      <w:r>
        <w:rPr>
          <w:rFonts w:ascii="Arial" w:cs="Arial" w:eastAsia="Arial" w:hAnsi="Arial"/>
          <w:b w:val="false"/>
          <w:bCs w:val="false"/>
          <w:i w:val="false"/>
          <w:iCs w:val="false"/>
          <w:color w:val="1A1A1F"/>
          <w:sz w:val="20"/>
          <w:szCs w:val="20"/>
        </w:rPr>
        <w:t xml:space="preserve">Vektor generates a full correlation matrix across every selected instrument before a strategy is locked, confirming genuine diversification at the mathematical level. 10,000 portfolio configurations map the efficient frontier; Modern Portfolio Theory selects the max-Sharpe allocation — weights determined by evidence, not intuition.</w:t>
      </w:r>
    </w:p>
    <w:p>
      <w:pPr>
        <w:spacing w:after="60" w:before="160"/>
      </w:pPr>
      <w:r>
        <w:rPr>
          <w:rFonts w:ascii="Arial" w:cs="Arial" w:eastAsia="Arial" w:hAnsi="Arial"/>
          <w:b/>
          <w:bCs/>
          <w:color w:val="C8A96E"/>
          <w:spacing w:val="60"/>
          <w:sz w:val="16"/>
          <w:szCs w:val="16"/>
        </w:rPr>
        <w:t xml:space="preserve">03  FULL TRANSPARENCY BEFORE A SINGLE ORDER IS PLACED.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
        <w:gridCol w:w="9518"/>
      </w:tblGrid>
      <w:tr>
        <w:tc>
          <w:tcPr>
            <w:tcW w:type="dxa" w:w="120"/>
            <w:tcBorders>
              <w:top w:val="none"/>
              <w:left w:val="none"/>
              <w:bottom w:val="none"/>
              <w:right w:val="none"/>
            </w:tcBorders>
            <w:shd w:fill="C8A96E" w:val="clear"/>
          </w:tcPr>
          <w:p>
            <w:r>
              <w:t xml:space="preserve"/>
            </w:r>
          </w:p>
        </w:tc>
        <w:tc>
          <w:tcPr>
            <w:tcW w:type="dxa" w:w="9518"/>
            <w:tcBorders>
              <w:top w:val="none"/>
              <w:left w:val="none"/>
              <w:bottom w:val="none"/>
              <w:right w:val="none"/>
            </w:tcBorders>
            <w:shd w:fill="F2F1EF" w:val="clear"/>
            <w:tcMar>
              <w:top w:type="dxa" w:w="120"/>
              <w:left w:type="dxa" w:w="160"/>
              <w:bottom w:type="dxa" w:w="120"/>
              <w:right w:type="dxa" w:w="160"/>
            </w:tcMar>
          </w:tcPr>
          <w:p>
            <w:pPr>
              <w:jc w:val="both"/>
            </w:pPr>
            <w:r>
              <w:rPr>
                <w:rFonts w:ascii="Arial" w:cs="Arial" w:eastAsia="Arial" w:hAnsi="Arial"/>
                <w:i/>
                <w:iCs/>
                <w:color w:val="1A1A1F"/>
                <w:sz w:val="18"/>
                <w:szCs w:val="18"/>
              </w:rPr>
              <w:t xml:space="preserve">Every strategy review surfaces the complete picture before approval: instruments, weights, the specific indicator assigned to each holding, and the backtest Sharpe ratio. There are no black boxes. The compliance-ready audit trail captures every action across all three user roles — accountability built into the architecture, not bolted on afterwards.</w:t>
            </w:r>
          </w:p>
        </w:tc>
      </w:tr>
    </w:tbl>
    <w:p>
      <w:pPr>
        <w:spacing w:after="0" w:before="60"/>
      </w:pPr>
      <w:r>
        <w:t xml:space="preserve"/>
      </w:r>
    </w:p>
    <w:p>
      <w:pPr>
        <w:spacing w:after="60" w:before="160"/>
      </w:pPr>
      <w:r>
        <w:rPr>
          <w:rFonts w:ascii="Arial" w:cs="Arial" w:eastAsia="Arial" w:hAnsi="Arial"/>
          <w:b/>
          <w:bCs/>
          <w:color w:val="C8A96E"/>
          <w:spacing w:val="60"/>
          <w:sz w:val="16"/>
          <w:szCs w:val="16"/>
        </w:rPr>
        <w:t xml:space="preserve">04  CAPITAL IS DEPLOYED WITH PRECISION, NOT APPROXIMATION.</w:t>
      </w:r>
    </w:p>
    <w:p>
      <w:pPr>
        <w:spacing w:after="120" w:before="0"/>
        <w:jc w:val="both"/>
      </w:pPr>
      <w:r>
        <w:rPr>
          <w:rFonts w:ascii="Arial" w:cs="Arial" w:eastAsia="Arial" w:hAnsi="Arial"/>
          <w:b w:val="false"/>
          <w:bCs w:val="false"/>
          <w:i w:val="false"/>
          <w:iCs w:val="false"/>
          <w:color w:val="1A1A1F"/>
          <w:sz w:val="20"/>
          <w:szCs w:val="20"/>
        </w:rPr>
        <w:t xml:space="preserve">Vektor translates percentage weights into actual share quantities at live market prices, rounded to exchange-specific lot sizes, with a configurable cash buffer — achieving 99.94% capital allocation efficiency.</w:t>
      </w:r>
    </w:p>
    <w:p>
      <w:pPr>
        <w:spacing w:after="60" w:before="160"/>
      </w:pPr>
      <w:r>
        <w:rPr>
          <w:rFonts w:ascii="Arial" w:cs="Arial" w:eastAsia="Arial" w:hAnsi="Arial"/>
          <w:b/>
          <w:bCs/>
          <w:color w:val="C8A96E"/>
          <w:spacing w:val="60"/>
          <w:sz w:val="16"/>
          <w:szCs w:val="16"/>
        </w:rPr>
        <w:t xml:space="preserve">05  ANY MARKET. ANY CURRENCY. ANY MANDATE.</w:t>
      </w:r>
    </w:p>
    <w:p>
      <w:pPr>
        <w:spacing w:after="120" w:before="0"/>
        <w:jc w:val="both"/>
      </w:pPr>
      <w:r>
        <w:rPr>
          <w:rFonts w:ascii="Arial" w:cs="Arial" w:eastAsia="Arial" w:hAnsi="Arial"/>
          <w:b w:val="false"/>
          <w:bCs w:val="false"/>
          <w:i w:val="false"/>
          <w:iCs w:val="false"/>
          <w:color w:val="1A1A1F"/>
          <w:sz w:val="20"/>
          <w:szCs w:val="20"/>
        </w:rPr>
        <w:t xml:space="preserve">Configure the exchange, benchmark, base currency, and lot sizes — and the engine runs identically across Singapore equities, London-listed industrials, or any listed equity market globally. FX rates update daily. New mandates onboard in minutes.</w:t>
      </w:r>
    </w:p>
    <w:p>
      <w:pPr>
        <w:spacing w:after="0" w:before="120"/>
      </w:pPr>
      <w:r>
        <w:t xml:space="preserve"/>
      </w:r>
    </w:p>
    <w:p>
      <w:pPr>
        <w:pBdr>
          <w:bottom w:val="single" w:color="D0CCCA" w:sz="4" w:space="2"/>
        </w:pBdr>
        <w:spacing w:after="80"/>
      </w:pPr>
    </w:p>
    <w:p>
      <w:pPr>
        <w:pStyle w:val="Heading2"/>
        <w:spacing w:after="80" w:before="200"/>
      </w:pPr>
      <w:r>
        <w:rPr>
          <w:rFonts w:ascii="Arial" w:cs="Arial" w:eastAsia="Arial" w:hAnsi="Arial"/>
          <w:b/>
          <w:bCs/>
          <w:color w:val="1A1A1F"/>
          <w:sz w:val="28"/>
          <w:szCs w:val="28"/>
        </w:rPr>
        <w:t xml:space="preserve">The Honest Answer</w:t>
      </w:r>
    </w:p>
    <w:p>
      <w:pPr>
        <w:pStyle w:val="Heading1"/>
        <w:spacing w:after="120" w:before="0"/>
      </w:pPr>
      <w:r>
        <w:rPr>
          <w:rFonts w:ascii="Arial" w:cs="Arial" w:eastAsia="Arial" w:hAnsi="Arial"/>
          <w:b/>
          <w:bCs/>
          <w:color w:val="1A1A1F"/>
          <w:sz w:val="40"/>
          <w:szCs w:val="40"/>
        </w:rPr>
        <w:t xml:space="preserve">What Vektor is not.</w:t>
      </w:r>
    </w:p>
    <w:p>
      <w:pPr>
        <w:spacing w:after="120" w:before="0"/>
        <w:jc w:val="both"/>
      </w:pPr>
      <w:r>
        <w:rPr>
          <w:rFonts w:ascii="Arial" w:cs="Arial" w:eastAsia="Arial" w:hAnsi="Arial"/>
          <w:b w:val="false"/>
          <w:bCs w:val="false"/>
          <w:i w:val="false"/>
          <w:iCs w:val="false"/>
          <w:color w:val="1A1A1F"/>
          <w:sz w:val="20"/>
          <w:szCs w:val="20"/>
        </w:rPr>
        <w:t xml:space="preserve">Sophistication without candour is not a sales argument — it is a liability.</w:t>
      </w:r>
    </w:p>
    <w:p>
      <w:pPr>
        <w:spacing w:after="60" w:before="160"/>
      </w:pPr>
      <w:r>
        <w:rPr>
          <w:rFonts w:ascii="Arial" w:cs="Arial" w:eastAsia="Arial" w:hAnsi="Arial"/>
          <w:b/>
          <w:bCs/>
          <w:color w:val="C8A96E"/>
          <w:spacing w:val="60"/>
          <w:sz w:val="16"/>
          <w:szCs w:val="16"/>
        </w:rPr>
        <w:t xml:space="preserve">NOT YET A FULLY AUTOMATED TRADING SYSTEM.</w:t>
      </w:r>
    </w:p>
    <w:p>
      <w:pPr>
        <w:spacing w:after="120" w:before="0"/>
        <w:jc w:val="both"/>
      </w:pPr>
      <w:r>
        <w:rPr>
          <w:rFonts w:ascii="Arial" w:cs="Arial" w:eastAsia="Arial" w:hAnsi="Arial"/>
          <w:b w:val="false"/>
          <w:bCs w:val="false"/>
          <w:i w:val="false"/>
          <w:iCs w:val="false"/>
          <w:color w:val="1A1A1F"/>
          <w:sz w:val="20"/>
          <w:szCs w:val="20"/>
        </w:rPr>
        <w:t xml:space="preserve">Direct trade execution, real-time position updates, live P&amp;L dashboards, and automated rebalancing are on the near-term roadmap. Live today: complete portfolio construction, strategy review, client onboarding, asset allocation, and cash funding — everything to a trade-ready position set.</w:t>
      </w:r>
    </w:p>
    <w:p>
      <w:pPr>
        <w:spacing w:after="60" w:before="160"/>
      </w:pPr>
      <w:r>
        <w:rPr>
          <w:rFonts w:ascii="Arial" w:cs="Arial" w:eastAsia="Arial" w:hAnsi="Arial"/>
          <w:b/>
          <w:bCs/>
          <w:color w:val="C8A96E"/>
          <w:spacing w:val="60"/>
          <w:sz w:val="16"/>
          <w:szCs w:val="16"/>
        </w:rPr>
        <w:t xml:space="preserve">NOT A BLACK BOX.</w:t>
      </w:r>
    </w:p>
    <w:p>
      <w:pPr>
        <w:spacing w:after="120" w:before="0"/>
        <w:jc w:val="both"/>
      </w:pPr>
      <w:r>
        <w:rPr>
          <w:rFonts w:ascii="Arial" w:cs="Arial" w:eastAsia="Arial" w:hAnsi="Arial"/>
          <w:b w:val="false"/>
          <w:bCs w:val="false"/>
          <w:i w:val="false"/>
          <w:iCs w:val="false"/>
          <w:color w:val="1A1A1F"/>
          <w:sz w:val="20"/>
          <w:szCs w:val="20"/>
        </w:rPr>
        <w:t xml:space="preserve">Every signal, weight, backtest result, and action is visible, logged, and reviewable. If a portfolio manager cannot explain why a position was included, the system has failed — and Vektor is built so that failure cannot happen silently.</w:t>
      </w:r>
    </w:p>
    <w:p>
      <w:pPr>
        <w:spacing w:after="60" w:before="160"/>
      </w:pPr>
      <w:r>
        <w:rPr>
          <w:rFonts w:ascii="Arial" w:cs="Arial" w:eastAsia="Arial" w:hAnsi="Arial"/>
          <w:b/>
          <w:bCs/>
          <w:color w:val="C8A96E"/>
          <w:spacing w:val="60"/>
          <w:sz w:val="16"/>
          <w:szCs w:val="16"/>
        </w:rPr>
        <w:t xml:space="preserve">NOT FOR EVERY MANDATE.</w:t>
      </w:r>
    </w:p>
    <w:p>
      <w:pPr>
        <w:spacing w:after="120" w:before="0"/>
        <w:jc w:val="both"/>
      </w:pPr>
      <w:r>
        <w:rPr>
          <w:rFonts w:ascii="Arial" w:cs="Arial" w:eastAsia="Arial" w:hAnsi="Arial"/>
          <w:b w:val="false"/>
          <w:bCs w:val="false"/>
          <w:i w:val="false"/>
          <w:iCs w:val="false"/>
          <w:color w:val="1A1A1F"/>
          <w:sz w:val="20"/>
          <w:szCs w:val="20"/>
        </w:rPr>
        <w:t xml:space="preserve">Built for listed equity markets. Fixed income, alternatives, and derivatives are outside the current scope. Vektor does one thing — systematic listed equity portfolio management — and does it with rigour the generalist platforms cannot match.</w:t>
      </w:r>
    </w:p>
    <w:p>
      <w:pPr>
        <w:spacing w:after="60" w:before="160"/>
      </w:pPr>
      <w:r>
        <w:rPr>
          <w:rFonts w:ascii="Arial" w:cs="Arial" w:eastAsia="Arial" w:hAnsi="Arial"/>
          <w:b/>
          <w:bCs/>
          <w:color w:val="C8A96E"/>
          <w:spacing w:val="60"/>
          <w:sz w:val="16"/>
          <w:szCs w:val="16"/>
        </w:rPr>
        <w:t xml:space="preserve">DATA HANDLING AND SECURITY.</w:t>
      </w:r>
    </w:p>
    <w:p>
      <w:pPr>
        <w:spacing w:after="120" w:before="0"/>
        <w:jc w:val="both"/>
      </w:pPr>
      <w:r>
        <w:rPr>
          <w:rFonts w:ascii="Arial" w:cs="Arial" w:eastAsia="Arial" w:hAnsi="Arial"/>
          <w:b w:val="false"/>
          <w:bCs w:val="false"/>
          <w:i w:val="false"/>
          <w:iCs w:val="false"/>
          <w:color w:val="1A1A1F"/>
          <w:sz w:val="20"/>
          <w:szCs w:val="20"/>
        </w:rPr>
        <w:t xml:space="preserve">Vektor is built with institutional data handling standards. Full details of the platform's security architecture, data residency, and access controls are available on request.</w:t>
      </w:r>
    </w:p>
    <w:p>
      <w:pPr>
        <w:spacing w:after="60" w:before="160"/>
      </w:pPr>
      <w:r>
        <w:rPr>
          <w:rFonts w:ascii="Arial" w:cs="Arial" w:eastAsia="Arial" w:hAnsi="Arial"/>
          <w:b/>
          <w:bCs/>
          <w:color w:val="C8A96E"/>
          <w:spacing w:val="60"/>
          <w:sz w:val="16"/>
          <w:szCs w:val="16"/>
        </w:rPr>
        <w:t xml:space="preserve">REGULATORY STANDING.</w:t>
      </w:r>
    </w:p>
    <w:p>
      <w:pPr>
        <w:spacing w:after="120" w:before="0"/>
        <w:jc w:val="both"/>
      </w:pPr>
      <w:r>
        <w:rPr>
          <w:rFonts w:ascii="Arial" w:cs="Arial" w:eastAsia="Arial" w:hAnsi="Arial"/>
          <w:b w:val="false"/>
          <w:bCs w:val="false"/>
          <w:i w:val="false"/>
          <w:iCs w:val="false"/>
          <w:color w:val="1A1A1F"/>
          <w:sz w:val="20"/>
          <w:szCs w:val="20"/>
        </w:rPr>
        <w:t xml:space="preserve">Vektor is a portfolio construction and management platform. Regulatory status, jurisdiction, and applicable permissions are not disclosed in this document — full details are available to prospective partners on request as part of the Founding Mandate due diligence process.</w:t>
      </w:r>
    </w:p>
    <w:p>
      <w:pPr>
        <w:spacing w:after="0" w:before="12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
        <w:gridCol w:w="9518"/>
      </w:tblGrid>
      <w:tr>
        <w:tc>
          <w:tcPr>
            <w:tcW w:type="dxa" w:w="120"/>
            <w:tcBorders>
              <w:top w:val="none"/>
              <w:left w:val="none"/>
              <w:bottom w:val="none"/>
              <w:right w:val="none"/>
            </w:tcBorders>
            <w:shd w:fill="C8A96E" w:val="clear"/>
          </w:tcPr>
          <w:p>
            <w:r>
              <w:t xml:space="preserve"/>
            </w:r>
          </w:p>
        </w:tc>
        <w:tc>
          <w:tcPr>
            <w:tcW w:type="dxa" w:w="9518"/>
            <w:tcBorders>
              <w:top w:val="none"/>
              <w:left w:val="none"/>
              <w:bottom w:val="none"/>
              <w:right w:val="none"/>
            </w:tcBorders>
            <w:shd w:fill="F2F1EF" w:val="clear"/>
            <w:tcMar>
              <w:top w:type="dxa" w:w="120"/>
              <w:left w:type="dxa" w:w="160"/>
              <w:bottom w:type="dxa" w:w="120"/>
              <w:right w:type="dxa" w:w="160"/>
            </w:tcMar>
          </w:tcPr>
          <w:p>
            <w:pPr>
              <w:jc w:val="both"/>
            </w:pPr>
            <w:r>
              <w:rPr>
                <w:rFonts w:ascii="Arial" w:cs="Arial" w:eastAsia="Arial" w:hAnsi="Arial"/>
                <w:i/>
                <w:iCs/>
                <w:color w:val="1A1A1F"/>
                <w:sz w:val="18"/>
                <w:szCs w:val="18"/>
              </w:rPr>
              <w:t xml:space="preserve">"Vektor gives wealth teams the quantitative infrastructure that institutional asset managers take for granted — without the cost, complexity, or minimum AUM that have always made it inaccessible."</w:t>
            </w:r>
          </w:p>
        </w:tc>
      </w:tr>
    </w:tbl>
    <w:p>
      <w:pPr>
        <w:spacing w:after="0" w:before="120"/>
      </w:pPr>
      <w:r>
        <w:t xml:space="preserve"/>
      </w:r>
    </w:p>
    <w:p>
      <w:pPr>
        <w:pBdr>
          <w:bottom w:val="single" w:color="D0CCCA" w:sz="4" w:space="2"/>
        </w:pBdr>
        <w:spacing w:after="80"/>
      </w:pPr>
    </w:p>
    <w:p>
      <w:pPr>
        <w:pStyle w:val="Heading2"/>
        <w:spacing w:after="80" w:before="200"/>
      </w:pPr>
      <w:r>
        <w:rPr>
          <w:rFonts w:ascii="Arial" w:cs="Arial" w:eastAsia="Arial" w:hAnsi="Arial"/>
          <w:b/>
          <w:bCs/>
          <w:color w:val="1A1A1F"/>
          <w:sz w:val="28"/>
          <w:szCs w:val="28"/>
        </w:rPr>
        <w:t xml:space="preserve">Founding Mandate Programme</w:t>
      </w:r>
    </w:p>
    <w:p>
      <w:pPr>
        <w:spacing w:after="120" w:before="0"/>
        <w:jc w:val="both"/>
      </w:pPr>
      <w:r>
        <w:rPr>
          <w:rFonts w:ascii="Arial" w:cs="Arial" w:eastAsia="Arial" w:hAnsi="Arial"/>
          <w:b w:val="false"/>
          <w:bCs w:val="false"/>
          <w:i w:val="false"/>
          <w:iCs w:val="false"/>
          <w:color w:val="1A1A1F"/>
          <w:sz w:val="20"/>
          <w:szCs w:val="20"/>
        </w:rPr>
        <w:t>Vektor is currently onboarding a small number of Founding Mandate partners — wealth teams managing listed equity mandates who will help shape Vektor's development in exchange for preferential commercial terms locked for the duration commercial terms, direct access to the founding team, and formal input into the product roadmap. Availability is limited and will close once the cohort is complete.</w:t>
      </w:r>
    </w:p>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99"/>
        <w:gridCol w:w="4799"/>
      </w:tblGrid>
      <w:tr>
        <w:tc>
          <w:tcPr>
            <w:tcW w:type="dxa" w:w="4799"/>
            <w:tcBorders>
              <w:top w:val="single" w:color="C8A96E" w:sz="8"/>
              <w:left w:val="none"/>
              <w:bottom w:val="none"/>
              <w:right w:val="none"/>
            </w:tcBorders>
            <w:shd w:fill="F2F1EF" w:val="clear"/>
            <w:tcMar>
              <w:top w:type="dxa" w:w="120"/>
              <w:left w:type="dxa" w:w="160"/>
              <w:bottom w:type="dxa" w:w="80"/>
              <w:right w:type="dxa" w:w="120"/>
            </w:tcMar>
          </w:tcPr>
          <w:p>
            <w:r>
              <w:rPr>
                <w:rFonts w:ascii="Arial" w:cs="Arial" w:eastAsia="Arial" w:hAnsi="Arial"/>
                <w:b/>
                <w:bCs/>
                <w:color w:val="C8A96E"/>
                <w:sz w:val="18"/>
                <w:szCs w:val="18"/>
              </w:rPr>
              <w:t xml:space="preserve">Slots available</w:t>
            </w:r>
          </w:p>
          <w:p>
            <w:r>
              <w:rPr>
                <w:rFonts w:ascii="Arial" w:cs="Arial" w:eastAsia="Arial" w:hAnsi="Arial"/>
                <w:color w:val="1A1A1F"/>
                <w:sz w:val="18"/>
                <w:szCs w:val="18"/>
              </w:rPr>
              <w:t xml:space="preserve">Three to five founding partners — specific, scarce, selected.</w:t>
            </w:r>
          </w:p>
        </w:tc>
        <w:tc>
          <w:tcPr>
            <w:tcW w:type="dxa" w:w="4799"/>
            <w:tcBorders>
              <w:top w:val="single" w:color="C8A96E" w:sz="8"/>
              <w:left w:val="single" w:color="D0CCCA" w:sz="2"/>
              <w:bottom w:val="none"/>
              <w:right w:val="none"/>
            </w:tcBorders>
            <w:shd w:fill="F2F1EF" w:val="clear"/>
            <w:tcMar>
              <w:top w:type="dxa" w:w="120"/>
              <w:left w:type="dxa" w:w="160"/>
              <w:bottom w:type="dxa" w:w="80"/>
              <w:right w:type="dxa" w:w="120"/>
            </w:tcMar>
          </w:tcPr>
          <w:p>
            <w:r>
              <w:rPr>
                <w:rFonts w:ascii="Arial" w:cs="Arial" w:eastAsia="Arial" w:hAnsi="Arial"/>
                <w:b/>
                <w:bCs/>
                <w:color w:val="C8A96E"/>
                <w:sz w:val="18"/>
                <w:szCs w:val="18"/>
              </w:rPr>
              <w:t xml:space="preserve">Commercial terms</w:t>
            </w:r>
          </w:p>
          <w:p>
            <w:r>
              <w:rPr>
                <w:rFonts w:ascii="Arial" w:cs="Arial" w:eastAsia="Arial" w:hAnsi="Arial"/>
                <w:color w:val="1A1A1F"/>
                <w:sz w:val="18"/>
                <w:szCs w:val="18"/>
              </w:rPr>
              <w:t xml:space="preserve">Founding Mandate pricing, locked for the duration of the relationship.</w:t>
            </w:r>
          </w:p>
        </w:tc>
      </w:tr>
      <w:tr>
        <w:tc>
          <w:tcPr>
            <w:tcW w:type="dxa" w:w="4799"/>
            <w:tcBorders>
              <w:top w:val="none"/>
              <w:left w:val="none"/>
              <w:bottom w:val="single" w:color="C8A96E" w:sz="8"/>
              <w:right w:val="none"/>
            </w:tcBorders>
            <w:shd w:fill="F2F1EF" w:val="clear"/>
            <w:tcMar>
              <w:top w:type="dxa" w:w="100"/>
              <w:left w:type="dxa" w:w="160"/>
              <w:bottom w:type="dxa" w:w="120"/>
              <w:right w:type="dxa" w:w="120"/>
            </w:tcMar>
          </w:tcPr>
          <w:p>
            <w:r>
              <w:rPr>
                <w:rFonts w:ascii="Arial" w:cs="Arial" w:eastAsia="Arial" w:hAnsi="Arial"/>
                <w:b/>
                <w:bCs/>
                <w:color w:val="C8A96E"/>
                <w:sz w:val="18"/>
                <w:szCs w:val="18"/>
              </w:rPr>
              <w:t xml:space="preserve">Access</w:t>
            </w:r>
          </w:p>
          <w:p>
            <w:r>
              <w:rPr>
                <w:rFonts w:ascii="Arial" w:cs="Arial" w:eastAsia="Arial" w:hAnsi="Arial"/>
                <w:color w:val="1A1A1F"/>
                <w:sz w:val="18"/>
                <w:szCs w:val="18"/>
              </w:rPr>
              <w:t xml:space="preserve">Direct line to the founding team throughout onboarding and beyond.</w:t>
            </w:r>
          </w:p>
        </w:tc>
        <w:tc>
          <w:tcPr>
            <w:tcW w:type="dxa" w:w="4799"/>
            <w:tcBorders>
              <w:top w:val="none"/>
              <w:left w:val="single" w:color="D0CCCA" w:sz="2"/>
              <w:bottom w:val="single" w:color="C8A96E" w:sz="8"/>
              <w:right w:val="none"/>
            </w:tcBorders>
            <w:shd w:fill="F2F1EF" w:val="clear"/>
            <w:tcMar>
              <w:top w:type="dxa" w:w="100"/>
              <w:left w:type="dxa" w:w="160"/>
              <w:bottom w:type="dxa" w:w="120"/>
              <w:right w:type="dxa" w:w="120"/>
            </w:tcMar>
          </w:tcPr>
          <w:p>
            <w:r>
              <w:rPr>
                <w:rFonts w:ascii="Arial" w:cs="Arial" w:eastAsia="Arial" w:hAnsi="Arial"/>
                <w:b/>
                <w:bCs/>
                <w:color w:val="C8A96E"/>
                <w:sz w:val="18"/>
                <w:szCs w:val="18"/>
              </w:rPr>
              <w:t xml:space="preserve">Roadmap influence</w:t>
            </w:r>
          </w:p>
          <w:p>
            <w:r>
              <w:rPr>
                <w:rFonts w:ascii="Arial" w:cs="Arial" w:eastAsia="Arial" w:hAnsi="Arial"/>
                <w:color w:val="1A1A1F"/>
                <w:sz w:val="18"/>
                <w:szCs w:val="18"/>
              </w:rPr>
              <w:t>Formal input into product direction — quarterly structured review.</w:t>
            </w:r>
          </w:p>
        </w:tc>
      </w:tr>
    </w:tbl>
    <w:p>
      <w:pPr>
        <w:spacing w:after="0" w:before="120"/>
      </w:pPr>
      <w:r>
        <w:t xml:space="preserve"/>
      </w:r>
    </w:p>
    <w:p>
      <w:pPr>
        <w:spacing w:after="80" w:before="80"/>
        <w:jc w:val="center"/>
      </w:pPr>
      <w:r>
        <w:rPr>
          <w:rFonts w:ascii="Arial" w:cs="Arial" w:eastAsia="Arial" w:hAnsi="Arial"/>
          <w:b/>
          <w:bCs/>
          <w:color w:val="1A1A1F"/>
          <w:sz w:val="28"/>
          <w:szCs w:val="28"/>
        </w:rPr>
        <w:t xml:space="preserve">Show us a mandate. We'll show you the platform.</w:t>
      </w:r>
    </w:p>
    <w:p>
      <w:pPr>
        <w:spacing w:after="80" w:before="0"/>
        <w:jc w:val="center"/>
      </w:pPr>
      <w:r>
        <w:rPr>
          <w:rFonts w:ascii="Arial" w:cs="Arial" w:eastAsia="Arial" w:hAnsi="Arial"/>
          <w:i/>
          <w:iCs/>
          <w:color w:val="9A9086"/>
          <w:sz w:val="20"/>
          <w:szCs w:val="20"/>
        </w:rPr>
        <w:t xml:space="preserve">Pick any listed equity market, any currency, any benchmark. We will run the full Vektor workflow against it and show you the output live: the efficient frontier, the correlation matrix, the max-Sharpe allocation, and the per-instrument signal selection. No slides. No promises. Just the platform, working on your data.</w:t>
      </w:r>
    </w:p>
    <w:p>
      <w:pPr>
        <w:jc w:val="center"/>
      </w:pPr>
      <w:r>
        <w:rPr>
          <w:rFonts w:ascii="Arial" w:cs="Arial" w:eastAsia="Arial" w:hAnsi="Arial"/>
          <w:b/>
          <w:bCs/>
          <w:color w:val="C8A96E"/>
          <w:sz w:val="22"/>
          <w:szCs w:val="22"/>
        </w:rPr>
        <w:t xml:space="preserve">Enquire about Founding Mandate availability at investpuppy.com</w:t>
      </w:r>
    </w:p>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
        <w:gridCol w:w="9518"/>
      </w:tblGrid>
      <w:tr>
        <w:tc>
          <w:tcPr>
            <w:tcW w:type="dxa" w:w="120"/>
            <w:tcBorders>
              <w:top w:val="none"/>
              <w:left w:val="none"/>
              <w:bottom w:val="none"/>
              <w:right w:val="none"/>
            </w:tcBorders>
            <w:shd w:fill="C8A96E" w:val="clear"/>
          </w:tcPr>
          <w:p>
            <w:r>
              <w:t xml:space="preserve"/>
            </w:r>
          </w:p>
        </w:tc>
        <w:tc>
          <w:tcPr>
            <w:tcW w:type="dxa" w:w="9518"/>
            <w:tcBorders>
              <w:top w:val="none"/>
              <w:left w:val="none"/>
              <w:bottom w:val="none"/>
              <w:right w:val="none"/>
            </w:tcBorders>
            <w:shd w:fill="F2F1EF" w:val="clear"/>
            <w:tcMar>
              <w:top w:type="dxa" w:w="120"/>
              <w:left w:type="dxa" w:w="160"/>
              <w:bottom w:type="dxa" w:w="120"/>
              <w:right w:type="dxa" w:w="160"/>
            </w:tcMar>
          </w:tcPr>
          <w:p>
            <w:pPr>
              <w:jc w:val="both"/>
            </w:pPr>
            <w:r>
              <w:rPr>
                <w:rFonts w:ascii="Arial" w:cs="Arial" w:eastAsia="Arial" w:hAnsi="Arial"/>
                <w:i/>
                <w:iCs/>
                <w:color w:val="1A1A1F"/>
                <w:sz w:val="18"/>
                <w:szCs w:val="18"/>
              </w:rPr>
              <w:t xml:space="preserve">For a deeper technical understanding of the Vektor methodology, see the companion White Paper: Quantitative Portfolio Construction for Single-Country Equity Markets. For the complete Founding Mandate Programme specification — commercial structure, partner obligations, programme mechanics, and path to production — see the Founding Mandate Programme document (IP-FMP-260501-1.0). All documents available at investpuppy.com.</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space="4" w:color="888884"/>
      </w:pBdr>
      <w:tabs>
        <w:tab w:val="right" w:pos="9638"/>
      </w:tabs>
      <w:spacing w:before="0" w:after="0"/>
    </w:pPr>
    <w:r>
      <w:drawing>
        <wp:inline xmlns:a="http://schemas.openxmlformats.org/drawingml/2006/main" xmlns:pic="http://schemas.openxmlformats.org/drawingml/2006/picture">
          <wp:extent cx="1008000" cy="825431"/>
          <wp:docPr id="1" name="Picture 1"/>
          <wp:cNvGraphicFramePr>
            <a:graphicFrameLocks noChangeAspect="1"/>
          </wp:cNvGraphicFramePr>
          <a:graphic>
            <a:graphicData uri="http://schemas.openxmlformats.org/drawingml/2006/picture">
              <pic:pic>
                <pic:nvPicPr>
                  <pic:cNvPr id="0" name="IPHorizontalInvClear.png"/>
                  <pic:cNvPicPr/>
                </pic:nvPicPr>
                <pic:blipFill>
                  <a:blip r:embed="rId1"/>
                  <a:stretch>
                    <a:fillRect/>
                  </a:stretch>
                </pic:blipFill>
                <pic:spPr>
                  <a:xfrm>
                    <a:off x="0" y="0"/>
                    <a:ext cx="1008000" cy="825431"/>
                  </a:xfrm>
                  <a:prstGeom prst="rect"/>
                </pic:spPr>
              </pic:pic>
            </a:graphicData>
          </a:graphic>
        </wp:inline>
      </w:drawing>
    </w:r>
    <w:r>
      <w:tab/>
    </w:r>
    <w:r>
      <w:rPr>
        <w:sz w:val="11"/>
        <w:color w:val="666660"/>
      </w:rPr>
      <w:t>investpuppy.com  ·  May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F"/>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1A1F"/>
      <w:sz w:val="40"/>
      <w:szCs w:val="40"/>
    </w:rPr>
  </w:style>
  <w:style w:type="paragraph" w:styleId="Heading2">
    <w:name w:val="Heading 2"/>
    <w:basedOn w:val="Normal"/>
    <w:next w:val="Normal"/>
    <w:qFormat/>
    <w:pPr>
      <w:spacing w:after="80" w:before="200"/>
      <w:outlineLvl w:val="1"/>
    </w:pPr>
    <w:rPr>
      <w:rFonts w:ascii="Arial" w:cs="Arial" w:eastAsia="Arial" w:hAnsi="Arial"/>
      <w:b/>
      <w:bCs/>
      <w:color w:val="1A1A1F"/>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2026-05-05T00:02:05.404Z</dcterms:created>
  <dcterms:modified xsi:type="dcterms:W3CDTF">2026-05-05T00:02:05.404Z</dcterms:modified>
</cp:coreProperties>
</file>

<file path=docProps/custom.xml><?xml version="1.0" encoding="utf-8"?>
<Properties xmlns="http://schemas.openxmlformats.org/officeDocument/2006/custom-properties" xmlns:vt="http://schemas.openxmlformats.org/officeDocument/2006/docPropsVTypes"/>
</file>