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line="276"/>
        <w:jc w:val="left"/>
      </w:pPr>
      <w:r>
        <w:rPr>
          <w:rFonts w:ascii="Arial" w:cs="Arial" w:eastAsia="Arial" w:hAnsi="Arial"/>
          <w:b w:val="false"/>
          <w:bCs w:val="false"/>
          <w:i w:val="false"/>
          <w:iCs w:val="false"/>
          <w:caps/>
          <w:color w:val="9A9086"/>
          <w:spacing w:val="80"/>
          <w:sz w:val="14"/>
          <w:szCs w:val="14"/>
        </w:rPr>
        <w:t xml:space="preserve">VEKTOR  ·  BY INVESTPUPPY</w:t>
      </w:r>
    </w:p>
    <w:p>
      <w:pPr>
        <w:pBdr>
          <w:bottom w:val="single" w:color="C8A96E" w:sz="12" w:space="4"/>
        </w:pBdr>
        <w:spacing w:after="120" w:before="60"/>
      </w:pPr>
    </w:p>
    <w:p>
      <w:pPr>
        <w:spacing w:after="120" w:before="0" w:line="276"/>
        <w:jc w:val="left"/>
      </w:pPr>
      <w:r>
        <w:rPr>
          <w:rFonts w:ascii="Arial" w:cs="Arial" w:eastAsia="Arial" w:hAnsi="Arial"/>
          <w:b/>
          <w:bCs/>
          <w:i w:val="false"/>
          <w:iCs w:val="false"/>
          <w:caps w:val="false"/>
          <w:color w:val="1A1A1F"/>
          <w:sz w:val="40"/>
          <w:szCs w:val="40"/>
        </w:rPr>
        <w:t xml:space="preserve">Workflow Integration
Guide</w:t>
      </w:r>
    </w:p>
    <w:p>
      <w:pPr>
        <w:spacing w:after="200" w:before="0" w:line="276"/>
        <w:jc w:val="left"/>
      </w:pPr>
      <w:r>
        <w:rPr>
          <w:rFonts w:ascii="Arial" w:cs="Arial" w:eastAsia="Arial" w:hAnsi="Arial"/>
          <w:b w:val="false"/>
          <w:bCs w:val="false"/>
          <w:i/>
          <w:iCs/>
          <w:caps w:val="false"/>
          <w:color w:val="9A9086"/>
          <w:sz w:val="20"/>
          <w:szCs w:val="20"/>
        </w:rPr>
        <w:t xml:space="preserve">How Vektor fits into an existing DPM workflow — what it replaces, what it augments, and what stays exactly as it is.</w:t>
      </w:r>
    </w:p>
    <w:p>
      <w:pPr>
        <w:pBdr>
          <w:bottom w:val="single" w:color="D0CCCA" w:sz="4" w:space="2"/>
        </w:pBdr>
        <w:spacing w:after="80" w:before="80"/>
      </w:pPr>
    </w:p>
    <w:p>
      <w:pPr>
        <w:spacing w:after="60" w:before="0" w:line="276"/>
        <w:jc w:val="left"/>
      </w:pPr>
      <w:r>
        <w:rPr>
          <w:rFonts w:ascii="Arial" w:cs="Arial" w:eastAsia="Arial" w:hAnsi="Arial"/>
          <w:b w:val="false"/>
          <w:bCs w:val="false"/>
          <w:i/>
          <w:iCs/>
          <w:caps w:val="false"/>
          <w:color w:val="9A9086"/>
          <w:sz w:val="17"/>
          <w:szCs w:val="17"/>
        </w:rPr>
        <w:t xml:space="preserve">For DPMs and portfolio managers evaluating Vektor alongside existing infrastructure</w:t>
      </w:r>
    </w:p>
    <w:p>
      <w:pPr>
        <w:spacing w:after="60" w:before="0" w:line="276"/>
        <w:jc w:val="left"/>
      </w:pPr>
      <w:r>
        <w:rPr>
          <w:rFonts w:ascii="Arial" w:cs="Arial" w:eastAsia="Arial" w:hAnsi="Arial"/>
          <w:b w:val="false"/>
          <w:bCs w:val="false"/>
          <w:i w:val="false"/>
          <w:iCs w:val="false"/>
          <w:caps w:val="false"/>
          <w:color w:val="9A9086"/>
          <w:sz w:val="15"/>
          <w:szCs w:val="15"/>
        </w:rPr>
        <w:t xml:space="preserve">IP-WIG-260501-1.0  ·  May 2026</w:t>
      </w:r>
    </w:p>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THE STARTING POINT</w:t>
      </w:r>
    </w:p>
    <w:p>
      <w:pPr>
        <w:spacing w:after="100" w:before="0" w:line="276"/>
        <w:jc w:val="both"/>
      </w:pPr>
      <w:r>
        <w:rPr>
          <w:rFonts w:ascii="Arial" w:cs="Arial" w:eastAsia="Arial" w:hAnsi="Arial"/>
          <w:b w:val="false"/>
          <w:bCs w:val="false"/>
          <w:i w:val="false"/>
          <w:iCs w:val="false"/>
          <w:caps w:val="false"/>
          <w:color w:val="1A1A1F"/>
          <w:sz w:val="19"/>
          <w:szCs w:val="19"/>
        </w:rPr>
        <w:t xml:space="preserve">This document addresses the question that every DPM asks but rarely states directly: 'What does this mean for the way I work today?' It maps the typical DPM workflow against the Vektor platform — task by task — and states honestly what Vektor replaces, augments, and leaves unchanged.</w:t>
      </w:r>
    </w:p>
    <w:p>
      <w:pPr>
        <w:pBdr>
          <w:bottom w:val="single" w:color="D0CCCA" w:sz="4" w:space="2"/>
        </w:pBdr>
        <w:spacing w:after="60" w:before="60"/>
      </w:pPr>
    </w:p>
    <w:p>
      <w:pPr>
        <w:spacing w:after="40" w:before="280" w:line="276"/>
        <w:jc w:val="left"/>
      </w:pPr>
      <w:r>
        <w:rPr>
          <w:rFonts w:ascii="Arial" w:cs="Arial" w:eastAsia="Arial" w:hAnsi="Arial"/>
          <w:b/>
          <w:bCs/>
          <w:i w:val="false"/>
          <w:iCs w:val="false"/>
          <w:caps/>
          <w:color w:val="C8A96E"/>
          <w:spacing w:val="80"/>
          <w:sz w:val="14"/>
          <w:szCs w:val="14"/>
        </w:rPr>
        <w:t xml:space="preserve">1</w:t>
      </w:r>
    </w:p>
    <w:p>
      <w:pPr>
        <w:spacing w:after="80" w:before="0" w:line="276"/>
        <w:jc w:val="left"/>
      </w:pPr>
      <w:r>
        <w:rPr>
          <w:rFonts w:ascii="Arial" w:cs="Arial" w:eastAsia="Arial" w:hAnsi="Arial"/>
          <w:b/>
          <w:bCs/>
          <w:i w:val="false"/>
          <w:iCs w:val="false"/>
          <w:caps w:val="false"/>
          <w:color w:val="1A1A1F"/>
          <w:sz w:val="28"/>
          <w:szCs w:val="28"/>
        </w:rPr>
        <w:t xml:space="preserve">THE WORKFLOW MAP</w:t>
      </w:r>
    </w:p>
    <w:p>
      <w:pPr>
        <w:spacing w:after="140" w:before="0" w:line="276"/>
        <w:jc w:val="left"/>
      </w:pPr>
      <w:r>
        <w:rPr>
          <w:rFonts w:ascii="Arial" w:cs="Arial" w:eastAsia="Arial" w:hAnsi="Arial"/>
          <w:b w:val="false"/>
          <w:bCs w:val="false"/>
          <w:i/>
          <w:iCs/>
          <w:caps w:val="false"/>
          <w:color w:val="9A9086"/>
          <w:sz w:val="20"/>
          <w:szCs w:val="20"/>
        </w:rPr>
        <w:t xml:space="preserve">What the typical DPM does today — and where Vektor sits in that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DPM TASK TODAY</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VEKTOR'S ROLE</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WHAT CHANGES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Screen a universe of 500+ stocks manually or via Bloomberg screens</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Replaces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Vektor runs the screening systematically against configured liquidity, sector, and dividend criteria. Output: a ranked, filtered universe ready for portfolio optimisation.</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Select portfolio instruments based on research and intuition</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Augments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The screened universe is the input — the analyst reviews it and selects the final instruments. Vektor accelerates the screening; the selection remains human.</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Build a portfolio allocation using Excel or a Bloomberg model</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Replaces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Efficient frontier optimisation across 10,000 portfolio configurations identifies the max-Sharpe allocation. Output: a complete weight set with efficient frontier chart and correlation matrix.</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Select technical indicators and set parameters manually</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Replaces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Grid search across six indicators per instrument, optimised for Sharpe ratio over a three-year window. XGBoost validated per instrument.</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Review and approve the portfolio strategy</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Unchanged</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The portfolio manager reviews the complete strategy — all instruments, weights, indicators, and Sharpe ratios — and approves. This step is structurally required. It is not faster or slower; it is better-informed.</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Convert portfolio weights to share quantities</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Replaces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Allocation calculation at live prices, with lot-size rounding and cash buffer. Output: exact share quantities per instrument.</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Submit orders to the broker</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Replaces (when live)</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Orders submitted via SQS queue to IBKR Gateway. Currently in simulation mode — live execution before first Founding Mandate client onboards.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Record cash movements and reconcile</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Augments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Cash funding recorded in the platform with currency, amount, and reference. Reconciliation against custody records remains with Operations.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Produce audit trail and compliance documentation</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Replaces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Every action logged with timestamp and user identity as a by-product of normal platform operation. No separate documentation required.</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Report to clients on portfolio performance</w:t>
            </w:r>
          </w:p>
        </w:tc>
        <w:tc>
          <w:tcPr>
            <w:tcW w:type="dxa" w:w="1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C8A96E"/>
                <w:sz w:val="17"/>
                <w:szCs w:val="17"/>
              </w:rPr>
              <w:t xml:space="preserve">Not yet in scope</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Client reporting is on the product roadmap. Performance data available via API and Admin Portal.</w:t>
            </w:r>
          </w:p>
        </w:tc>
      </w:tr>
    </w:tbl>
    <w:p>
      <w:pPr>
        <w:pBdr>
          <w:bottom w:val="single" w:color="D0CCCA" w:sz="4" w:space="2"/>
        </w:pBdr>
        <w:spacing w:after="80" w:before="200"/>
      </w:pPr>
    </w:p>
    <w:p>
      <w:pPr>
        <w:spacing w:after="40" w:before="280" w:line="276"/>
        <w:jc w:val="left"/>
      </w:pPr>
      <w:r>
        <w:rPr>
          <w:rFonts w:ascii="Arial" w:cs="Arial" w:eastAsia="Arial" w:hAnsi="Arial"/>
          <w:b/>
          <w:bCs/>
          <w:i w:val="false"/>
          <w:iCs w:val="false"/>
          <w:caps/>
          <w:color w:val="C8A96E"/>
          <w:spacing w:val="80"/>
          <w:sz w:val="14"/>
          <w:szCs w:val="14"/>
        </w:rPr>
        <w:t xml:space="preserve">2</w:t>
      </w:r>
    </w:p>
    <w:p>
      <w:pPr>
        <w:spacing w:after="80" w:before="0" w:line="276"/>
        <w:jc w:val="left"/>
      </w:pPr>
      <w:r>
        <w:rPr>
          <w:rFonts w:ascii="Arial" w:cs="Arial" w:eastAsia="Arial" w:hAnsi="Arial"/>
          <w:b/>
          <w:bCs/>
          <w:i w:val="false"/>
          <w:iCs w:val="false"/>
          <w:caps w:val="false"/>
          <w:color w:val="1A1A1F"/>
          <w:sz w:val="28"/>
          <w:szCs w:val="28"/>
        </w:rPr>
        <w:t xml:space="preserve">VEKTOR ALONGSIDE BLOOMBERG</w:t>
      </w:r>
    </w:p>
    <w:p>
      <w:pPr>
        <w:spacing w:after="140" w:before="0" w:line="276"/>
        <w:jc w:val="left"/>
      </w:pPr>
      <w:r>
        <w:rPr>
          <w:rFonts w:ascii="Arial" w:cs="Arial" w:eastAsia="Arial" w:hAnsi="Arial"/>
          <w:b w:val="false"/>
          <w:bCs w:val="false"/>
          <w:i/>
          <w:iCs/>
          <w:caps w:val="false"/>
          <w:color w:val="9A9086"/>
          <w:sz w:val="20"/>
          <w:szCs w:val="20"/>
        </w:rPr>
        <w:t xml:space="preserve">The most common existing infrastructure question — how does Vektor relate to a Bloomberg terminal workflow?</w:t>
      </w:r>
    </w:p>
    <w:p>
      <w:pPr>
        <w:spacing w:after="100" w:before="0" w:line="276"/>
        <w:jc w:val="both"/>
      </w:pPr>
      <w:r>
        <w:rPr>
          <w:rFonts w:ascii="Arial" w:cs="Arial" w:eastAsia="Arial" w:hAnsi="Arial"/>
          <w:b w:val="false"/>
          <w:bCs w:val="false"/>
          <w:i w:val="false"/>
          <w:iCs w:val="false"/>
          <w:caps w:val="false"/>
          <w:color w:val="1A1A1F"/>
          <w:sz w:val="19"/>
          <w:szCs w:val="19"/>
        </w:rPr>
        <w:t xml:space="preserve">Bloomberg remains the standard tool for price discovery, news, corporate action monitoring, and client reporting in most DPM workflows. Vektor does not replace Bloomberg — it replaces the Excel-based or Bloomberg-screen-based portfolio construction and signal selection workflow that sits alongside it.</w:t>
      </w:r>
    </w:p>
    <w:p>
      <w:pPr>
        <w:spacing w:after="60" w:before="180" w:line="276"/>
        <w:jc w:val="left"/>
      </w:pPr>
      <w:r>
        <w:rPr>
          <w:rFonts w:ascii="Arial" w:cs="Arial" w:eastAsia="Arial" w:hAnsi="Arial"/>
          <w:b/>
          <w:bCs/>
          <w:i w:val="false"/>
          <w:iCs w:val="false"/>
          <w:caps w:val="false"/>
          <w:color w:val="C8A96E"/>
          <w:sz w:val="18"/>
          <w:szCs w:val="18"/>
        </w:rPr>
        <w:t xml:space="preserve">WHAT BLOOMBERG CONTINUES TO DO</w:t>
      </w:r>
    </w:p>
    <w:p>
      <w:pPr>
        <w:spacing w:after="100" w:before="0" w:line="276"/>
        <w:jc w:val="both"/>
      </w:pPr>
      <w:r>
        <w:rPr>
          <w:rFonts w:ascii="Arial" w:cs="Arial" w:eastAsia="Arial" w:hAnsi="Arial"/>
          <w:b w:val="false"/>
          <w:bCs w:val="false"/>
          <w:i w:val="false"/>
          <w:iCs w:val="false"/>
          <w:caps w:val="false"/>
          <w:color w:val="1A1A1F"/>
          <w:sz w:val="19"/>
          <w:szCs w:val="19"/>
        </w:rPr>
        <w:t xml:space="preserve">Real-time price monitoring. News and corporate action alerts. Client reporting. Fixed income and structured product coverage. Compliance screening against client restrictions. All of this continues unchanged.</w:t>
      </w:r>
    </w:p>
    <w:p>
      <w:pPr>
        <w:spacing w:after="60" w:before="180" w:line="276"/>
        <w:jc w:val="left"/>
      </w:pPr>
      <w:r>
        <w:rPr>
          <w:rFonts w:ascii="Arial" w:cs="Arial" w:eastAsia="Arial" w:hAnsi="Arial"/>
          <w:b/>
          <w:bCs/>
          <w:i w:val="false"/>
          <w:iCs w:val="false"/>
          <w:caps w:val="false"/>
          <w:color w:val="C8A96E"/>
          <w:sz w:val="18"/>
          <w:szCs w:val="18"/>
        </w:rPr>
        <w:t xml:space="preserve">WHAT VEKTOR DOES INSTEAD OF BLOOMBERG</w:t>
      </w:r>
    </w:p>
    <w:p>
      <w:pPr>
        <w:spacing w:after="100" w:before="0" w:line="276"/>
        <w:jc w:val="both"/>
      </w:pPr>
      <w:r>
        <w:rPr>
          <w:rFonts w:ascii="Arial" w:cs="Arial" w:eastAsia="Arial" w:hAnsi="Arial"/>
          <w:b w:val="false"/>
          <w:bCs w:val="false"/>
          <w:i w:val="false"/>
          <w:iCs w:val="false"/>
          <w:caps w:val="false"/>
          <w:color w:val="1A1A1F"/>
          <w:sz w:val="19"/>
          <w:szCs w:val="19"/>
        </w:rPr>
        <w:t xml:space="preserve">Universe screening (replacing Bloomberg screen-based filtering). Portfolio optimisation (replacing BOPT or Excel-based optimisation). Technical indicator selection and optimisation. Allocation calculation (replacing Excel-based weight-to-quantity conversion).</w:t>
      </w:r>
    </w:p>
    <w:p>
      <w:pPr>
        <w:spacing w:after="60" w:before="180" w:line="276"/>
        <w:jc w:val="left"/>
      </w:pPr>
      <w:r>
        <w:rPr>
          <w:rFonts w:ascii="Arial" w:cs="Arial" w:eastAsia="Arial" w:hAnsi="Arial"/>
          <w:b/>
          <w:bCs/>
          <w:i w:val="false"/>
          <w:iCs w:val="false"/>
          <w:caps w:val="false"/>
          <w:color w:val="C8A96E"/>
          <w:sz w:val="18"/>
          <w:szCs w:val="18"/>
        </w:rPr>
        <w:t xml:space="preserve">DATA SOURCE SUBSTITUTION</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currently uses Yahoo Finance for historical price data. A DPM requiring Bloomberg-quality data can substitute a Bloomberg data feed as the market data source. This is a configuration change, not an architectural change, and is available as a Founding Mandate configuration option.</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3</w:t>
      </w:r>
    </w:p>
    <w:p>
      <w:pPr>
        <w:spacing w:after="80" w:before="0" w:line="276"/>
        <w:jc w:val="left"/>
      </w:pPr>
      <w:r>
        <w:rPr>
          <w:rFonts w:ascii="Arial" w:cs="Arial" w:eastAsia="Arial" w:hAnsi="Arial"/>
          <w:b/>
          <w:bCs/>
          <w:i w:val="false"/>
          <w:iCs w:val="false"/>
          <w:caps w:val="false"/>
          <w:color w:val="1A1A1F"/>
          <w:sz w:val="28"/>
          <w:szCs w:val="28"/>
        </w:rPr>
        <w:t xml:space="preserve">VEKTOR ALONGSIDE AN EXISTING PMS</w:t>
      </w:r>
    </w:p>
    <w:p>
      <w:pPr>
        <w:spacing w:after="140" w:before="0" w:line="276"/>
        <w:jc w:val="left"/>
      </w:pPr>
      <w:r>
        <w:rPr>
          <w:rFonts w:ascii="Arial" w:cs="Arial" w:eastAsia="Arial" w:hAnsi="Arial"/>
          <w:b w:val="false"/>
          <w:bCs w:val="false"/>
          <w:i/>
          <w:iCs/>
          <w:caps w:val="false"/>
          <w:color w:val="9A9086"/>
          <w:sz w:val="20"/>
          <w:szCs w:val="20"/>
        </w:rPr>
        <w:t xml:space="preserve">For DPMs with an existing Portfolio Management System — how Vektor connects as the quantitative construction layer.</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is designed to operate as a complement to an existing PMS. The platform produces a trade-ready allocation table — instruments, target quantities, target values — via REST API. An existing PMS integration receives this table and processes it through the existing order management and reconciliation workflow.</w:t>
      </w:r>
    </w:p>
    <w:p>
      <w:pPr>
        <w:spacing w:after="60" w:before="180" w:line="276"/>
        <w:jc w:val="left"/>
      </w:pPr>
      <w:r>
        <w:rPr>
          <w:rFonts w:ascii="Arial" w:cs="Arial" w:eastAsia="Arial" w:hAnsi="Arial"/>
          <w:b/>
          <w:bCs/>
          <w:i w:val="false"/>
          <w:iCs w:val="false"/>
          <w:caps w:val="false"/>
          <w:color w:val="C8A96E"/>
          <w:sz w:val="18"/>
          <w:szCs w:val="18"/>
        </w:rPr>
        <w:t xml:space="preserve">WHAT THE API DELIVERS</w:t>
      </w:r>
    </w:p>
    <w:p>
      <w:pPr>
        <w:spacing w:after="100" w:before="0" w:line="276"/>
        <w:jc w:val="both"/>
      </w:pPr>
      <w:r>
        <w:rPr>
          <w:rFonts w:ascii="Arial" w:cs="Arial" w:eastAsia="Arial" w:hAnsi="Arial"/>
          <w:b w:val="false"/>
          <w:bCs w:val="false"/>
          <w:i w:val="false"/>
          <w:iCs w:val="false"/>
          <w:caps w:val="false"/>
          <w:color w:val="1A1A1F"/>
          <w:sz w:val="19"/>
          <w:szCs w:val="19"/>
        </w:rPr>
        <w:t xml:space="preserve">A JSON response containing: instrument identifier (ticker + exchange), target quantity (lot-rounded), target value (at calculation price), portfolio weight, and assigned technical indicator. Complete information to raise orders in any order management system.</w:t>
      </w:r>
    </w:p>
    <w:p>
      <w:pPr>
        <w:spacing w:after="60" w:before="180" w:line="276"/>
        <w:jc w:val="left"/>
      </w:pPr>
      <w:r>
        <w:rPr>
          <w:rFonts w:ascii="Arial" w:cs="Arial" w:eastAsia="Arial" w:hAnsi="Arial"/>
          <w:b/>
          <w:bCs/>
          <w:i w:val="false"/>
          <w:iCs w:val="false"/>
          <w:caps w:val="false"/>
          <w:color w:val="C8A96E"/>
          <w:sz w:val="18"/>
          <w:szCs w:val="18"/>
        </w:rPr>
        <w:t xml:space="preserve">INTEGRATION EFFORT</w:t>
      </w:r>
    </w:p>
    <w:p>
      <w:pPr>
        <w:spacing w:after="100" w:before="0" w:line="276"/>
        <w:jc w:val="both"/>
      </w:pPr>
      <w:r>
        <w:rPr>
          <w:rFonts w:ascii="Arial" w:cs="Arial" w:eastAsia="Arial" w:hAnsi="Arial"/>
          <w:b w:val="false"/>
          <w:bCs w:val="false"/>
          <w:i w:val="false"/>
          <w:iCs w:val="false"/>
          <w:caps w:val="false"/>
          <w:color w:val="1A1A1F"/>
          <w:sz w:val="19"/>
          <w:szCs w:val="19"/>
        </w:rPr>
        <w:t xml:space="preserve">A standard REST API integration between Vektor's allocation endpoint and an existing PMS typically takes two to four weeks for a developer familiar with the target PMS. Vektor provides API documentation and integration support as part of Founding Mandate onboarding.</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4</w:t>
      </w:r>
    </w:p>
    <w:p>
      <w:pPr>
        <w:spacing w:after="80" w:before="0" w:line="276"/>
        <w:jc w:val="left"/>
      </w:pPr>
      <w:r>
        <w:rPr>
          <w:rFonts w:ascii="Arial" w:cs="Arial" w:eastAsia="Arial" w:hAnsi="Arial"/>
          <w:b/>
          <w:bCs/>
          <w:i w:val="false"/>
          <w:iCs w:val="false"/>
          <w:caps w:val="false"/>
          <w:color w:val="1A1A1F"/>
          <w:sz w:val="28"/>
          <w:szCs w:val="28"/>
        </w:rPr>
        <w:t xml:space="preserve">THE DPM WITHOUT A PMS</w:t>
      </w:r>
    </w:p>
    <w:p>
      <w:pPr>
        <w:spacing w:after="140" w:before="0" w:line="276"/>
        <w:jc w:val="left"/>
      </w:pPr>
      <w:r>
        <w:rPr>
          <w:rFonts w:ascii="Arial" w:cs="Arial" w:eastAsia="Arial" w:hAnsi="Arial"/>
          <w:b w:val="false"/>
          <w:bCs w:val="false"/>
          <w:i/>
          <w:iCs/>
          <w:caps w:val="false"/>
          <w:color w:val="9A9086"/>
          <w:sz w:val="20"/>
          <w:szCs w:val="20"/>
        </w:rPr>
        <w:t xml:space="preserve">For boutique DPMs and family offices managing portfolios in Excel — what the transition looks like.</w:t>
      </w:r>
    </w:p>
    <w:p>
      <w:pPr>
        <w:spacing w:after="100" w:before="0" w:line="276"/>
        <w:jc w:val="both"/>
      </w:pPr>
      <w:r>
        <w:rPr>
          <w:rFonts w:ascii="Arial" w:cs="Arial" w:eastAsia="Arial" w:hAnsi="Arial"/>
          <w:b w:val="false"/>
          <w:bCs w:val="false"/>
          <w:i w:val="false"/>
          <w:iCs w:val="false"/>
          <w:caps w:val="false"/>
          <w:color w:val="1A1A1F"/>
          <w:sz w:val="19"/>
          <w:szCs w:val="19"/>
        </w:rPr>
        <w:t xml:space="preserve">Many boutique DPMs and independent family offices manage client portfolios in Excel, with Bloomberg or Yahoo Finance as the data source and manual order entry at the broker. This is the workflow Vektor is most directly designed to upgrade.</w:t>
      </w:r>
    </w:p>
    <w:p>
      <w:pPr>
        <w:spacing w:after="60" w:before="180" w:line="276"/>
        <w:jc w:val="left"/>
      </w:pPr>
      <w:r>
        <w:rPr>
          <w:rFonts w:ascii="Arial" w:cs="Arial" w:eastAsia="Arial" w:hAnsi="Arial"/>
          <w:b/>
          <w:bCs/>
          <w:i w:val="false"/>
          <w:iCs w:val="false"/>
          <w:caps w:val="false"/>
          <w:color w:val="C8A96E"/>
          <w:sz w:val="18"/>
          <w:szCs w:val="18"/>
        </w:rPr>
        <w:t xml:space="preserve">WHAT VEKTOR REPLACES IN THIS WORKFLOW</w:t>
      </w:r>
    </w:p>
    <w:p>
      <w:pPr>
        <w:spacing w:after="100" w:before="0" w:line="276"/>
        <w:jc w:val="both"/>
      </w:pPr>
      <w:r>
        <w:rPr>
          <w:rFonts w:ascii="Arial" w:cs="Arial" w:eastAsia="Arial" w:hAnsi="Arial"/>
          <w:b w:val="false"/>
          <w:bCs w:val="false"/>
          <w:i w:val="false"/>
          <w:iCs w:val="false"/>
          <w:caps w:val="false"/>
          <w:color w:val="1A1A1F"/>
          <w:sz w:val="19"/>
          <w:szCs w:val="19"/>
        </w:rPr>
        <w:t xml:space="preserve">The universe screening spreadsheet. The optimisation model. The indicator selection process. The weight-to-quantity calculation. The order list preparation. The audit trail — if one exists at all.</w:t>
      </w:r>
    </w:p>
    <w:p>
      <w:pPr>
        <w:spacing w:after="60" w:before="180" w:line="276"/>
        <w:jc w:val="left"/>
      </w:pPr>
      <w:r>
        <w:rPr>
          <w:rFonts w:ascii="Arial" w:cs="Arial" w:eastAsia="Arial" w:hAnsi="Arial"/>
          <w:b/>
          <w:bCs/>
          <w:i w:val="false"/>
          <w:iCs w:val="false"/>
          <w:caps w:val="false"/>
          <w:color w:val="C8A96E"/>
          <w:sz w:val="18"/>
          <w:szCs w:val="18"/>
        </w:rPr>
        <w:t xml:space="preserve">THE HONEST TRANSITION REALITY</w:t>
      </w:r>
    </w:p>
    <w:p>
      <w:pPr>
        <w:spacing w:after="100" w:before="0" w:line="276"/>
        <w:jc w:val="both"/>
      </w:pPr>
      <w:r>
        <w:rPr>
          <w:rFonts w:ascii="Arial" w:cs="Arial" w:eastAsia="Arial" w:hAnsi="Arial"/>
          <w:b w:val="false"/>
          <w:bCs w:val="false"/>
          <w:i w:val="false"/>
          <w:iCs w:val="false"/>
          <w:caps w:val="false"/>
          <w:color w:val="1A1A1F"/>
          <w:sz w:val="19"/>
          <w:szCs w:val="19"/>
        </w:rPr>
        <w:t xml:space="preserve">Moving from an Excel-based workflow to a systematic platform takes time and requires a period of parallel running. The portfolio manager's judgement does not become redundant — it becomes better-supported. The Founding Mandate structure is designed to support this transition: Vektor is configured around the specific instruments, markets, and client profiles of the founding firm, not the other way around.</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5</w:t>
      </w:r>
    </w:p>
    <w:p>
      <w:pPr>
        <w:spacing w:after="80" w:before="0" w:line="276"/>
        <w:jc w:val="left"/>
      </w:pPr>
      <w:r>
        <w:rPr>
          <w:rFonts w:ascii="Arial" w:cs="Arial" w:eastAsia="Arial" w:hAnsi="Arial"/>
          <w:b/>
          <w:bCs/>
          <w:i w:val="false"/>
          <w:iCs w:val="false"/>
          <w:caps w:val="false"/>
          <w:color w:val="1A1A1F"/>
          <w:sz w:val="28"/>
          <w:szCs w:val="28"/>
        </w:rPr>
        <w:t xml:space="preserve">WHAT VEKTOR DOES NOT REPLACE</w:t>
      </w:r>
    </w:p>
    <w:p>
      <w:pPr>
        <w:spacing w:after="140" w:before="0" w:line="276"/>
        <w:jc w:val="left"/>
      </w:pPr>
      <w:r>
        <w:rPr>
          <w:rFonts w:ascii="Arial" w:cs="Arial" w:eastAsia="Arial" w:hAnsi="Arial"/>
          <w:b w:val="false"/>
          <w:bCs w:val="false"/>
          <w:i/>
          <w:iCs/>
          <w:caps w:val="false"/>
          <w:color w:val="9A9086"/>
          <w:sz w:val="20"/>
          <w:szCs w:val="20"/>
        </w:rPr>
        <w:t xml:space="preserve">Important to state clearly.</w:t>
      </w:r>
    </w:p>
    <w:p>
      <w:pPr>
        <w:spacing w:after="60" w:before="180" w:line="276"/>
        <w:jc w:val="left"/>
      </w:pPr>
      <w:r>
        <w:rPr>
          <w:rFonts w:ascii="Arial" w:cs="Arial" w:eastAsia="Arial" w:hAnsi="Arial"/>
          <w:b/>
          <w:bCs/>
          <w:i w:val="false"/>
          <w:iCs w:val="false"/>
          <w:caps w:val="false"/>
          <w:color w:val="C8A96E"/>
          <w:sz w:val="18"/>
          <w:szCs w:val="18"/>
        </w:rPr>
        <w:t xml:space="preserve">The portfolio manager's judgement</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produces a systematically optimised strategy recommendation. The portfolio manager reviews it, challenges it, and approves or modifies it. The PM's understanding of the client, market context, and risk environment is the final filter the platform is designed to support — not replace.</w:t>
      </w:r>
    </w:p>
    <w:p>
      <w:pPr>
        <w:spacing w:after="60" w:before="180" w:line="276"/>
        <w:jc w:val="left"/>
      </w:pPr>
      <w:r>
        <w:rPr>
          <w:rFonts w:ascii="Arial" w:cs="Arial" w:eastAsia="Arial" w:hAnsi="Arial"/>
          <w:b/>
          <w:bCs/>
          <w:i w:val="false"/>
          <w:iCs w:val="false"/>
          <w:caps w:val="false"/>
          <w:color w:val="C8A96E"/>
          <w:sz w:val="18"/>
          <w:szCs w:val="18"/>
        </w:rPr>
        <w:t xml:space="preserve">Client relationships</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manages portfolios. It does not manage clients. The relationship between the DPM and the client — suitability assessment, regular reviews, reporting, communication — remains entirely with the portfolio manager.</w:t>
      </w:r>
    </w:p>
    <w:p>
      <w:pPr>
        <w:spacing w:after="60" w:before="180" w:line="276"/>
        <w:jc w:val="left"/>
      </w:pPr>
      <w:r>
        <w:rPr>
          <w:rFonts w:ascii="Arial" w:cs="Arial" w:eastAsia="Arial" w:hAnsi="Arial"/>
          <w:b/>
          <w:bCs/>
          <w:i w:val="false"/>
          <w:iCs w:val="false"/>
          <w:caps w:val="false"/>
          <w:color w:val="C8A96E"/>
          <w:sz w:val="18"/>
          <w:szCs w:val="18"/>
        </w:rPr>
        <w:t xml:space="preserve">Regulatory compliance</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provides the audit trail that supports compliance. Regulatory obligations — licensing, suitability, reporting — remain with the operating firm. Vektor is a tool in a regulated firm's hands, not a substitute for that firm's regulatory standing.</w:t>
      </w:r>
    </w:p>
    <w:p>
      <w:pPr>
        <w:spacing w:after="60" w:before="180" w:line="276"/>
        <w:jc w:val="left"/>
      </w:pPr>
      <w:r>
        <w:rPr>
          <w:rFonts w:ascii="Arial" w:cs="Arial" w:eastAsia="Arial" w:hAnsi="Arial"/>
          <w:b/>
          <w:bCs/>
          <w:i w:val="false"/>
          <w:iCs w:val="false"/>
          <w:caps w:val="false"/>
          <w:color w:val="C8A96E"/>
          <w:sz w:val="18"/>
          <w:szCs w:val="18"/>
        </w:rPr>
        <w:t xml:space="preserve">Fixed income, alternatives, and structured products</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is a listed equity platform. A multi-asset DPM continues to use existing tools for non-equity asset classes. Vektor handles the listed equity sleeve.</w:t>
      </w:r>
    </w:p>
    <w:p>
      <w:pPr>
        <w:pBdr>
          <w:bottom w:val="single" w:color="D0CCCA" w:sz="4" w:space="2"/>
        </w:pBdr>
        <w:spacing w:after="80" w:before="200"/>
      </w:pPr>
    </w:p>
    <w:p>
      <w:pPr>
        <w:spacing w:after="60" w:before="0" w:line="276"/>
        <w:jc w:val="both"/>
      </w:pPr>
      <w:r>
        <w:rPr>
          <w:rFonts w:ascii="Arial" w:cs="Arial" w:eastAsia="Arial" w:hAnsi="Arial"/>
          <w:b w:val="false"/>
          <w:bCs w:val="false"/>
          <w:i/>
          <w:iCs/>
          <w:caps w:val="false"/>
          <w:color w:val="9A9086"/>
          <w:sz w:val="16"/>
          <w:szCs w:val="16"/>
        </w:rPr>
        <w:t xml:space="preserve">For the technical integration architecture, see WP-07. For the platform workflow in detail, see the Platform Brochure. For risk and limitation disclosure, see WP-09. All documents at investpuppy.com.</w:t>
      </w:r>
    </w:p>
    <w:p>
      <w:pPr>
        <w:spacing w:after="60" w:before="0" w:line="276"/>
        <w:jc w:val="center"/>
      </w:pPr>
      <w:r>
        <w:rPr>
          <w:rFonts w:ascii="Arial" w:cs="Arial" w:eastAsia="Arial" w:hAnsi="Arial"/>
          <w:b w:val="false"/>
          <w:bCs w:val="false"/>
          <w:i w:val="false"/>
          <w:iCs w:val="false"/>
          <w:caps w:val="false"/>
          <w:color w:val="9A9086"/>
          <w:sz w:val="15"/>
          <w:szCs w:val="15"/>
        </w:rPr>
        <w:t xml:space="preserve">investpuppy.com  ·  contact@investpuppy.com  ·  IP-WIG-260501-1.0  ·  Copyright 2026 InvestPuppy</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Integration Guide</dc:title>
  <dc:creator>InvestPuppy</dc:creator>
  <cp:lastModifiedBy>Un-named</cp:lastModifiedBy>
  <cp:revision>1</cp:revision>
  <dcterms:created xsi:type="dcterms:W3CDTF">2026-05-06T02:04:21.021Z</dcterms:created>
  <dcterms:modified xsi:type="dcterms:W3CDTF">2026-05-06T02:04:21.021Z</dcterms:modified>
</cp:coreProperties>
</file>

<file path=docProps/custom.xml><?xml version="1.0" encoding="utf-8"?>
<Properties xmlns="http://schemas.openxmlformats.org/officeDocument/2006/custom-properties" xmlns:vt="http://schemas.openxmlformats.org/officeDocument/2006/docPropsVTypes"/>
</file>