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pBdr>
          <w:bottom w:val="single" w:color="C8A96E" w:sz="12" w:space="4"/>
        </w:pBdr>
        <w:spacing w:after="120"/>
      </w:pP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9A9086"/>
          <w:spacing w:val="80"/>
          <w:sz w:val="16"/>
          <w:szCs w:val="16"/>
        </w:rPr>
        <w:t xml:space="preserve">RESEARCH SERIES INDEX  ·  2026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A1A1F"/>
          <w:sz w:val="52"/>
          <w:szCs w:val="52"/>
        </w:rPr>
        <w:t xml:space="preserve">Vektor Research Series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9A9086"/>
          <w:sz w:val="22"/>
          <w:szCs w:val="22"/>
        </w:rPr>
        <w:t xml:space="preserve">Six white papers covering the methodology, infrastructure, and compliance architecture of the Vektor platform.</w:t>
      </w:r>
    </w:p>
    <w:p>
      <w:pPr>
        <w:pBdr>
          <w:bottom w:val="single" w:color="D0CCCA" w:sz="4" w:space="2"/>
        </w:pBdr>
        <w:spacing w:after="80"/>
      </w:pPr>
    </w:p>
    <w:p>
      <w:pPr>
        <w:spacing w:after="0" w:before="80"/>
      </w:pPr>
      <w:r>
        <w:t xml:space="preserve"/>
      </w:r>
    </w:p>
    <w:p>
      <w:pPr>
        <w:spacing w:after="60" w:before="0"/>
      </w:pPr>
      <w:r>
        <w:rPr>
          <w:rFonts w:ascii="Arial" w:cs="Arial" w:eastAsia="Arial" w:hAnsi="Arial"/>
          <w:color w:val="9A9086"/>
          <w:sz w:val="16"/>
          <w:szCs w:val="16"/>
        </w:rPr>
        <w:t xml:space="preserve">For professional and institutional investors only</w:t>
      </w:r>
    </w:p>
    <w:p>
      <w:r>
        <w:rPr>
          <w:rFonts w:ascii="Arial" w:cs="Arial" w:eastAsia="Arial" w:hAnsi="Arial"/>
          <w:color w:val="9A9086"/>
          <w:sz w:val="16"/>
          <w:szCs w:val="16"/>
        </w:rPr>
        <w:t xml:space="preserve">May 2026</w:t>
      </w:r>
    </w:p>
    <w:p>
      <w:r>
        <w:rPr>
          <w:rFonts w:ascii="Arial" w:cs="Arial" w:eastAsia="Arial" w:hAnsi="Arial"/>
          <w:color w:val="C8A96E"/>
          <w:sz w:val="16"/>
          <w:szCs w:val="16"/>
        </w:rPr>
        <w:t xml:space="preserve">investpuppy.com</w:t>
      </w:r>
    </w:p>
    <w:p>
      <w:pPr>
        <w:pageBreakBefore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C8A96E"/>
          <w:spacing w:val="80"/>
          <w:sz w:val="14"/>
          <w:szCs w:val="14"/>
        </w:rPr>
        <w:t xml:space="preserve">SERIES OVERVIEW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F"/>
          <w:sz w:val="20"/>
          <w:szCs w:val="20"/>
        </w:rPr>
        <w:t>These ten papers exist because every claim Vektor makes deserves documentation. If a question about the platform’s methodology is not answered here, it should be — and we would like to know. The Vektor Research Series provides technical documentation for every major component of the platform — from foundational portfolio construction methodology to per-instrument signal selection, capital allocation precision, multi-currency infrastructure, and compliance architecture.</w:t>
      </w:r>
    </w:p>
    <w:p>
      <w:pPr>
        <w:spacing w:after="0" w:before="80"/>
      </w:pPr>
      <w: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600"/>
        <w:gridCol w:w="2526"/>
      </w:tblGrid>
      <w:tr>
        <w:trPr>
          <w:tblHeader/>
        </w:trPr>
        <w:tc>
          <w:tcPr>
            <w:tcW w:type="dxa" w:w="900"/>
            <w:tcBorders>
              <w:top w:val="single" w:color="C8A96E" w:sz="8"/>
              <w:left w:val="none"/>
              <w:bottom w:val="single" w:color="2A2828" w:sz="4"/>
              <w:right w:val="none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18"/>
                <w:szCs w:val="18"/>
              </w:rPr>
              <w:t xml:space="preserve">Ref</w:t>
            </w:r>
          </w:p>
        </w:tc>
        <w:tc>
          <w:tcPr>
            <w:tcW w:type="dxa" w:w="2000"/>
            <w:tcBorders>
              <w:top w:val="single" w:color="C8A96E" w:sz="8"/>
              <w:left w:val="none"/>
              <w:bottom w:val="single" w:color="2A2828" w:sz="4"/>
              <w:right w:val="none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18"/>
                <w:szCs w:val="18"/>
              </w:rPr>
              <w:t xml:space="preserve">Document</w:t>
            </w:r>
          </w:p>
        </w:tc>
        <w:tc>
          <w:tcPr>
            <w:tcW w:type="dxa" w:w="3600"/>
            <w:tcBorders>
              <w:top w:val="single" w:color="C8A96E" w:sz="8"/>
              <w:left w:val="none"/>
              <w:bottom w:val="single" w:color="2A2828" w:sz="4"/>
              <w:right w:val="none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526"/>
            <w:tcBorders>
              <w:top w:val="single" w:color="C8A96E" w:sz="8"/>
              <w:left w:val="none"/>
              <w:bottom w:val="single" w:color="2A2828" w:sz="4"/>
              <w:right w:val="none"/>
            </w:tcBorders>
            <w:shd w:fill="0A0A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8A96E"/>
                <w:sz w:val="18"/>
                <w:szCs w:val="18"/>
              </w:rPr>
              <w:t xml:space="preserve">Recommended for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0CCCA" w:sz="2"/>
              <w:right w:val="none"/>
            </w:tcBorders>
            <w:shd w:fill="F7F6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A96E"/>
                <w:sz w:val="16"/>
                <w:szCs w:val="16"/>
              </w:rPr>
              <w:t xml:space="preserve">WP-01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0CCCA" w:sz="2"/>
              <w:right w:val="none"/>
            </w:tcBorders>
            <w:shd w:fill="F7F6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6"/>
                <w:szCs w:val="16"/>
              </w:rPr>
              <w:t xml:space="preserve">Quantitative Portfolio Construction for Single-Country Equity Markets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D0CCCA" w:sz="2"/>
              <w:right w:val="none"/>
            </w:tcBorders>
            <w:shd w:fill="F7F6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F"/>
                <w:sz w:val="16"/>
                <w:szCs w:val="16"/>
              </w:rPr>
              <w:t xml:space="preserve">The foundational paper. A replicable five-stage framework — universe screening, simulation-based optimisation, and benchmark validation — illustrated with a worked SGX implementation.</w:t>
            </w:r>
          </w:p>
        </w:tc>
        <w:tc>
          <w:tcPr>
            <w:tcW w:type="dxa" w:w="2526"/>
            <w:tcBorders>
              <w:top w:val="none"/>
              <w:left w:val="none"/>
              <w:bottom w:val="single" w:color="D0CCCA" w:sz="2"/>
              <w:right w:val="none"/>
            </w:tcBorders>
            <w:shd w:fill="F7F6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9A9086"/>
                <w:sz w:val="16"/>
                <w:szCs w:val="16"/>
              </w:rPr>
              <w:t xml:space="preserve">DPMs, family office analysts, institutional allocators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0CCCA" w:sz="2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A96E"/>
                <w:sz w:val="16"/>
                <w:szCs w:val="16"/>
              </w:rPr>
              <w:t xml:space="preserve">WP-02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0CCCA" w:sz="2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6"/>
                <w:szCs w:val="16"/>
              </w:rPr>
              <w:t xml:space="preserve">Per-Instrument Signal Optimisation &amp; XGBoost Validation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D0CCCA" w:sz="2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F"/>
                <w:sz w:val="16"/>
                <w:szCs w:val="16"/>
              </w:rPr>
              <w:t xml:space="preserve">How Vektor selects the optimal technical indicator for every individual holding through a grid search across six indicators — and how XGBoost validates every live signal before execution.</w:t>
            </w:r>
          </w:p>
        </w:tc>
        <w:tc>
          <w:tcPr>
            <w:tcW w:type="dxa" w:w="2526"/>
            <w:tcBorders>
              <w:top w:val="none"/>
              <w:left w:val="none"/>
              <w:bottom w:val="single" w:color="D0CCCA" w:sz="2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9A9086"/>
                <w:sz w:val="16"/>
                <w:szCs w:val="16"/>
              </w:rPr>
              <w:t xml:space="preserve">Quant analysts, systematic traders, technically sophisticated DPMs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0CCCA" w:sz="2"/>
              <w:right w:val="none"/>
            </w:tcBorders>
            <w:shd w:fill="F7F6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A96E"/>
                <w:sz w:val="16"/>
                <w:szCs w:val="16"/>
              </w:rPr>
              <w:t xml:space="preserve">WP-03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0CCCA" w:sz="2"/>
              <w:right w:val="none"/>
            </w:tcBorders>
            <w:shd w:fill="F7F6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6"/>
                <w:szCs w:val="16"/>
              </w:rPr>
              <w:t xml:space="preserve">Capital Allocation Precision: From Weights to Positions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D0CCCA" w:sz="2"/>
              <w:right w:val="none"/>
            </w:tcBorders>
            <w:shd w:fill="F7F6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F"/>
                <w:sz w:val="16"/>
                <w:szCs w:val="16"/>
              </w:rPr>
              <w:t xml:space="preserve">How percentage weights become actual share quantities at live prices. Lot size rounding, cash buffer configuration, and how 99.94% capital allocation efficiency is achieved and verified.</w:t>
            </w:r>
          </w:p>
        </w:tc>
        <w:tc>
          <w:tcPr>
            <w:tcW w:type="dxa" w:w="2526"/>
            <w:tcBorders>
              <w:top w:val="none"/>
              <w:left w:val="none"/>
              <w:bottom w:val="single" w:color="D0CCCA" w:sz="2"/>
              <w:right w:val="none"/>
            </w:tcBorders>
            <w:shd w:fill="F7F6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9A9086"/>
                <w:sz w:val="16"/>
                <w:szCs w:val="16"/>
              </w:rPr>
              <w:t xml:space="preserve">DPMs, operations teams, family office managers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0CCCA" w:sz="2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A96E"/>
                <w:sz w:val="16"/>
                <w:szCs w:val="16"/>
              </w:rPr>
              <w:t xml:space="preserve">WP-04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0CCCA" w:sz="2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6"/>
                <w:szCs w:val="16"/>
              </w:rPr>
              <w:t xml:space="preserve">Technical Indicator Selection: Grid Search Methodology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D0CCCA" w:sz="2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F"/>
                <w:sz w:val="16"/>
                <w:szCs w:val="16"/>
              </w:rPr>
              <w:t xml:space="preserve">A practitioner's guide to systematic parameter optimisation. Full parameter space specification, Sharpe ratio as objective function, three-year look-back rationale, and overfitting controls.</w:t>
            </w:r>
          </w:p>
        </w:tc>
        <w:tc>
          <w:tcPr>
            <w:tcW w:type="dxa" w:w="2526"/>
            <w:tcBorders>
              <w:top w:val="none"/>
              <w:left w:val="none"/>
              <w:bottom w:val="single" w:color="D0CCCA" w:sz="2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9A9086"/>
                <w:sz w:val="16"/>
                <w:szCs w:val="16"/>
              </w:rPr>
              <w:t xml:space="preserve">Quant analysts, risk managers, systematic traders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0CCCA" w:sz="2"/>
              <w:right w:val="none"/>
            </w:tcBorders>
            <w:shd w:fill="F7F6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A96E"/>
                <w:sz w:val="16"/>
                <w:szCs w:val="16"/>
              </w:rPr>
              <w:t xml:space="preserve">WP-05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0CCCA" w:sz="2"/>
              <w:right w:val="none"/>
            </w:tcBorders>
            <w:shd w:fill="F7F6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6"/>
                <w:szCs w:val="16"/>
              </w:rPr>
              <w:t xml:space="preserve">Multi-Currency Portfolio Infrastructure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D0CCCA" w:sz="2"/>
              <w:right w:val="none"/>
            </w:tcBorders>
            <w:shd w:fill="F7F6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F"/>
                <w:sz w:val="16"/>
                <w:szCs w:val="16"/>
              </w:rPr>
              <w:t xml:space="preserve">Daily FX rate collection, position-level currency conversion, per-client base currency configuration, and generalisation to any market and currency pair.</w:t>
            </w:r>
          </w:p>
        </w:tc>
        <w:tc>
          <w:tcPr>
            <w:tcW w:type="dxa" w:w="2526"/>
            <w:tcBorders>
              <w:top w:val="none"/>
              <w:left w:val="none"/>
              <w:bottom w:val="single" w:color="D0CCCA" w:sz="2"/>
              <w:right w:val="none"/>
            </w:tcBorders>
            <w:shd w:fill="F7F6F4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9A9086"/>
                <w:sz w:val="16"/>
                <w:szCs w:val="16"/>
              </w:rPr>
              <w:t xml:space="preserve">Multi-mandate family offices, cross-border DPMs</w:t>
            </w:r>
          </w:p>
        </w:tc>
      </w:tr>
      <w:tr>
        <w:tc>
          <w:tcPr>
            <w:tcW w:type="dxa" w:w="900"/>
            <w:tcBorders>
              <w:top w:val="none"/>
              <w:left w:val="none"/>
              <w:bottom w:val="single" w:color="D0CCCA" w:sz="2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C8A96E"/>
                <w:sz w:val="16"/>
                <w:szCs w:val="16"/>
              </w:rPr>
              <w:t xml:space="preserve">WP-06</w:t>
            </w:r>
          </w:p>
        </w:tc>
        <w:tc>
          <w:tcPr>
            <w:tcW w:type="dxa" w:w="2000"/>
            <w:tcBorders>
              <w:top w:val="none"/>
              <w:left w:val="none"/>
              <w:bottom w:val="single" w:color="D0CCCA" w:sz="2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F"/>
                <w:sz w:val="16"/>
                <w:szCs w:val="16"/>
              </w:rPr>
              <w:t xml:space="preserve">Audit Trail &amp; Compliance Architecture</w:t>
            </w:r>
          </w:p>
        </w:tc>
        <w:tc>
          <w:tcPr>
            <w:tcW w:type="dxa" w:w="3600"/>
            <w:tcBorders>
              <w:top w:val="none"/>
              <w:left w:val="none"/>
              <w:bottom w:val="single" w:color="D0CCCA" w:sz="2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A1A1F"/>
                <w:sz w:val="16"/>
                <w:szCs w:val="16"/>
              </w:rPr>
              <w:t xml:space="preserve">The three-role accountability structure, complete action logging across all eleven workflow steps, and how Vektor produces an institutional-grade audit trail as a by-product of normal platform operation.</w:t>
            </w:r>
          </w:p>
        </w:tc>
        <w:tc>
          <w:tcPr>
            <w:tcW w:type="dxa" w:w="2526"/>
            <w:tcBorders>
              <w:top w:val="none"/>
              <w:left w:val="none"/>
              <w:bottom w:val="single" w:color="D0CCCA" w:sz="2"/>
              <w:right w:val="none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i/>
                <w:iCs/>
                <w:color w:val="9A9086"/>
                <w:sz w:val="16"/>
                <w:szCs w:val="16"/>
              </w:rPr>
              <w:t xml:space="preserve">Compliance officers, institutional due diligence teams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C8A96E" w:sz="12" w:space="4"/>
        </w:pBdr>
        <w:spacing w:after="120"/>
      </w:pPr>
    </w:p>
    <w:p>
      <w:pPr>
        <w:jc w:val="center"/>
      </w:pPr>
      <w:r>
        <w:rPr>
          <w:rFonts w:ascii="Arial" w:cs="Arial" w:eastAsia="Arial" w:hAnsi="Arial"/>
          <w:color w:val="9A9086"/>
          <w:sz w:val="16"/>
          <w:szCs w:val="16"/>
        </w:rPr>
        <w:t xml:space="preserve">All white papers available at investpuppy.com  ·  contact@investpuppy.com  ·  For professional and institutional enquiries only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sz="4" w:space="4" w:color="888884"/>
      </w:pBdr>
      <w:tabs>
        <w:tab w:val="right" w:pos="9638"/>
      </w:tabs>
      <w:spacing w:before="0" w:after="0"/>
    </w:pPr>
    <w:r>
      <w:drawing>
        <wp:inline xmlns:a="http://schemas.openxmlformats.org/drawingml/2006/main" xmlns:pic="http://schemas.openxmlformats.org/drawingml/2006/picture">
          <wp:extent cx="1008000" cy="8254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PHorizontalInvCle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8000" cy="8254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sz w:val="11"/>
        <w:color w:val="666660"/>
      </w:rPr>
      <w:t>investpuppy.com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A1A1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1A1F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2026-05-05T00:02:05.460Z</dcterms:created>
  <dcterms:modified xsi:type="dcterms:W3CDTF">2026-05-05T00:02:05.460Z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