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pBdr>
          <w:bottom w:val="single" w:color="C8A96E" w:sz="12" w:space="4"/>
        </w:pBdr>
        <w:spacing w:after="120"/>
      </w:pPr>
    </w:p>
    <w:p>
      <w:pPr>
        <w:spacing w:after="0" w:before="80"/>
      </w:pPr>
      <w:r>
        <w:t xml:space="preserve"/>
      </w:r>
    </w:p>
    <w:p>
      <w:pPr>
        <w:spacing w:after="60" w:before="0"/>
      </w:pPr>
      <w:r>
        <w:rPr>
          <w:rFonts w:ascii="Arial" w:cs="Arial" w:eastAsia="Arial" w:hAnsi="Arial"/>
          <w:color w:val="9A9086"/>
          <w:spacing w:val="80"/>
          <w:sz w:val="16"/>
          <w:szCs w:val="16"/>
        </w:rPr>
        <w:t xml:space="preserve">VEKTOR RESEARCH SERIES  ·  2026</w:t>
      </w:r>
    </w:p>
    <w:p>
      <w:pPr>
        <w:spacing w:after="120" w:before="0"/>
      </w:pPr>
      <w:r>
        <w:rPr>
          <w:rFonts w:ascii="Arial" w:cs="Arial" w:eastAsia="Arial" w:hAnsi="Arial"/>
          <w:b/>
          <w:bCs/>
          <w:color w:val="1A1A1F"/>
          <w:sz w:val="52"/>
          <w:szCs w:val="52"/>
        </w:rPr>
        <w:t xml:space="preserve">Per-Instrument Signal Optimisation &amp; XGBoost Validation</w:t>
      </w:r>
    </w:p>
    <w:p>
      <w:pPr>
        <w:spacing w:after="240" w:before="0"/>
      </w:pPr>
      <w:r>
        <w:rPr>
          <w:rFonts w:ascii="Arial" w:cs="Arial" w:eastAsia="Arial" w:hAnsi="Arial"/>
          <w:i/>
          <w:iCs/>
          <w:color w:val="9A9086"/>
          <w:sz w:val="22"/>
          <w:szCs w:val="22"/>
        </w:rPr>
        <w:t xml:space="preserve">How Vektor selects the optimal technical indicator for every individual holding — and why one-size-fits-all signal strategies leave alpha on the table.</w:t>
      </w:r>
    </w:p>
    <w:p>
      <w:pPr>
        <w:pBdr>
          <w:bottom w:val="single" w:color="D0CCCA" w:sz="4" w:space="2"/>
        </w:pBdr>
        <w:spacing w:after="80"/>
      </w:pPr>
    </w:p>
    <w:p>
      <w:pPr>
        <w:spacing w:after="0" w:before="80"/>
      </w:pPr>
      <w:r>
        <w:t xml:space="preserve"/>
      </w:r>
    </w:p>
    <w:p>
      <w:pPr>
        <w:spacing w:after="60" w:before="0"/>
      </w:pPr>
      <w:r>
        <w:rPr>
          <w:rFonts w:ascii="Arial" w:cs="Arial" w:eastAsia="Arial" w:hAnsi="Arial"/>
          <w:color w:val="9A9086"/>
          <w:sz w:val="16"/>
          <w:szCs w:val="16"/>
        </w:rPr>
        <w:t xml:space="preserve">Vektor Research Series  ·  2026</w:t>
      </w:r>
    </w:p>
    <w:p>
      <w:r>
        <w:rPr>
          <w:rFonts w:ascii="Courier New" w:cs="Courier New" w:eastAsia="Courier New" w:hAnsi="Courier New"/>
          <w:color w:val="9A9086"/>
          <w:sz w:val="14"/>
          <w:szCs w:val="14"/>
        </w:rPr>
        <w:t xml:space="preserve">IP-WP-SIG-260501-1.0</w:t>
      </w:r>
    </w:p>
    <w:p>
      <w:r>
        <w:rPr>
          <w:rFonts w:ascii="Arial" w:cs="Arial" w:eastAsia="Arial" w:hAnsi="Arial"/>
          <w:color w:val="9A9086"/>
          <w:sz w:val="16"/>
          <w:szCs w:val="16"/>
        </w:rPr>
        <w:t xml:space="preserve">May 2026</w:t>
      </w:r>
    </w:p>
    <w:p>
      <w:r>
        <w:rPr>
          <w:rFonts w:ascii="Arial" w:cs="Arial" w:eastAsia="Arial" w:hAnsi="Arial"/>
          <w:color w:val="C8A96E"/>
          <w:sz w:val="16"/>
          <w:szCs w:val="16"/>
        </w:rPr>
        <w:t xml:space="preserve">investpuppy.com</w:t>
      </w:r>
    </w:p>
    <w:p>
      <w:pPr>
        <w:pageBreakBefore/>
      </w:pPr>
      <w:r>
        <w:t xml:space="preserve"/>
      </w:r>
    </w:p>
    <w:p>
      <w:pPr>
        <w:spacing w:after="60" w:before="160"/>
      </w:pPr>
      <w:r>
        <w:rPr>
          <w:rFonts w:ascii="Arial" w:cs="Arial" w:eastAsia="Arial" w:hAnsi="Arial"/>
          <w:b/>
          <w:bCs/>
          <w:color w:val="C8A96E"/>
          <w:spacing w:val="80"/>
          <w:sz w:val="14"/>
          <w:szCs w:val="14"/>
        </w:rPr>
        <w:t xml:space="preserve">ABSTRACT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Standard quantitative portfolio strategies apply a single technical indicator across all holdings — a compromise that optimises for the average at the expense of the individual. This paper describes Vektor's per-instrument signal optimisation methodology: a full grid search across six technical indicators for each holding, Sharpe-ranked parameter selection, and a two-stage XGBoost validation layer that filters live signals before execution.</w:t>
            </w:r>
          </w:p>
        </w:tc>
      </w:tr>
    </w:tbl>
    <w:p>
      <w:pPr>
        <w:spacing w:after="0" w:before="80"/>
      </w:pPr>
      <w:r>
        <w:t xml:space="preserve"/>
      </w:r>
    </w:p>
    <w:p>
      <w:pPr>
        <w:spacing w:after="60" w:before="160"/>
      </w:pPr>
      <w:r>
        <w:rPr>
          <w:rFonts w:ascii="Arial" w:cs="Arial" w:eastAsia="Arial" w:hAnsi="Arial"/>
          <w:b/>
          <w:bCs/>
          <w:color w:val="C8A96E"/>
          <w:spacing w:val="80"/>
          <w:sz w:val="14"/>
          <w:szCs w:val="14"/>
        </w:rPr>
        <w:t>One-size-fits-all signal selection is where most systematic portfolios leave alpha on the table. This paper describes exactly how Vektor recovers it — per instrument, not on average. KEY TAKEAWAYS</w:t>
      </w:r>
    </w:p>
    <w:p>
      <w:pPr>
        <w:pStyle w:val="ListParagraph"/>
        <w:numPr>
          <w:ilvl w:val="0"/>
          <w:numId w:val="2"/>
        </w:numPr>
        <w:spacing w:after="60" w:before="0"/>
      </w:pPr>
      <w:r>
        <w:rPr>
          <w:rFonts w:ascii="Arial" w:cs="Arial" w:eastAsia="Arial" w:hAnsi="Arial"/>
          <w:color w:val="1A1A1F"/>
          <w:sz w:val="20"/>
          <w:szCs w:val="20"/>
        </w:rPr>
        <w:t xml:space="preserve">A single technical indicator applied across a universe is a known source of lost alpha. Per-instrument selection recovers it.</w:t>
      </w:r>
    </w:p>
    <w:p>
      <w:pPr>
        <w:pStyle w:val="ListParagraph"/>
        <w:numPr>
          <w:ilvl w:val="0"/>
          <w:numId w:val="2"/>
        </w:numPr>
        <w:spacing w:after="60" w:before="0"/>
      </w:pPr>
      <w:r>
        <w:rPr>
          <w:rFonts w:ascii="Arial" w:cs="Arial" w:eastAsia="Arial" w:hAnsi="Arial"/>
          <w:color w:val="1A1A1F"/>
          <w:sz w:val="20"/>
          <w:szCs w:val="20"/>
        </w:rPr>
        <w:t xml:space="preserve">Grid search across six indicators with full parameter optimisation produces the highest-Sharpe configuration for each individual stock.</w:t>
      </w:r>
    </w:p>
    <w:p>
      <w:pPr>
        <w:pStyle w:val="ListParagraph"/>
        <w:numPr>
          <w:ilvl w:val="0"/>
          <w:numId w:val="2"/>
        </w:numPr>
        <w:spacing w:after="60" w:before="0"/>
      </w:pPr>
      <w:r>
        <w:rPr>
          <w:rFonts w:ascii="Arial" w:cs="Arial" w:eastAsia="Arial" w:hAnsi="Arial"/>
          <w:color w:val="1A1A1F"/>
          <w:sz w:val="20"/>
          <w:szCs w:val="20"/>
        </w:rPr>
        <w:t xml:space="preserve">XGBoost validation adds a second layer of signal verification, filtering out low-confidence signals before they reach execution.</w:t>
      </w:r>
    </w:p>
    <w:p>
      <w:pPr>
        <w:pStyle w:val="ListParagraph"/>
        <w:numPr>
          <w:ilvl w:val="0"/>
          <w:numId w:val="2"/>
        </w:numPr>
        <w:spacing w:after="60" w:before="0"/>
      </w:pPr>
      <w:r>
        <w:rPr>
          <w:rFonts w:ascii="Arial" w:cs="Arial" w:eastAsia="Arial" w:hAnsi="Arial"/>
          <w:color w:val="1A1A1F"/>
          <w:sz w:val="20"/>
          <w:szCs w:val="20"/>
        </w:rPr>
        <w:t xml:space="preserve">The winning indicator, its optimised parameters, and its backtest Sharpe ratio are stored in the strategy record — fully transparent and auditable.</w:t>
      </w:r>
    </w:p>
    <w:p>
      <w:pPr>
        <w:spacing w:after="0" w:before="80"/>
      </w:pPr>
      <w:r>
        <w:t xml:space="preserve"/>
      </w:r>
    </w:p>
    <w:p>
      <w:pPr>
        <w:pBdr>
          <w:bottom w:val="single" w:color="D0CCCA" w:sz="4" w:space="2"/>
        </w:pBdr>
        <w:spacing w:after="80"/>
      </w:pPr>
    </w:p>
    <w:p>
      <w:r>
        <w:rPr>
          <w:rFonts w:ascii="Courier New" w:cs="Courier New" w:eastAsia="Courier New" w:hAnsi="Courier New"/>
          <w:color w:val="9A9086"/>
          <w:sz w:val="14"/>
          <w:szCs w:val="14"/>
        </w:rPr>
        <w:t xml:space="preserve">Reference: IP-WP-SIG-260501-1.0  ·  Copyright 2026 InvestPuppy  ·  investpuppy.com</w:t>
      </w:r>
    </w:p>
    <w:p>
      <w:pPr>
        <w:pageBreakBefore/>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1.  The Problem with Universal Signals</w:t>
      </w:r>
    </w:p>
    <w:p>
      <w:pPr>
        <w:spacing w:after="120" w:before="0"/>
        <w:jc w:val="both"/>
      </w:pPr>
      <w:r>
        <w:rPr>
          <w:rFonts w:ascii="Arial" w:cs="Arial" w:eastAsia="Arial" w:hAnsi="Arial"/>
          <w:i/>
          <w:iCs/>
          <w:color w:val="9A9086"/>
          <w:sz w:val="22"/>
          <w:szCs w:val="22"/>
        </w:rPr>
        <w:t xml:space="preserve">Why a single indicator applied across a portfolio is a structural source of lost alpha.</w:t>
      </w:r>
    </w:p>
    <w:p>
      <w:pPr>
        <w:spacing w:after="120" w:before="0"/>
        <w:jc w:val="both"/>
      </w:pPr>
      <w:r>
        <w:rPr>
          <w:rFonts w:ascii="Arial" w:cs="Arial" w:eastAsia="Arial" w:hAnsi="Arial"/>
          <w:b w:val="false"/>
          <w:bCs w:val="false"/>
          <w:i w:val="false"/>
          <w:iCs w:val="false"/>
          <w:color w:val="1A1A1F"/>
          <w:sz w:val="20"/>
          <w:szCs w:val="20"/>
        </w:rPr>
        <w:t xml:space="preserve">Technical indicators are designed to detect specific price behaviours — momentum, mean reversion, volatility breakouts, overbought/oversold conditions. Different instruments exhibit different dominant price behaviours at different points in time. Applying the same indicator to all instruments does not produce the best outcome for either — it produces a mediocre outcome for both.</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2.  The Six Indicators</w:t>
      </w:r>
    </w:p>
    <w:p>
      <w:pPr>
        <w:spacing w:after="120" w:before="0"/>
        <w:jc w:val="both"/>
      </w:pPr>
      <w:r>
        <w:rPr>
          <w:rFonts w:ascii="Arial" w:cs="Arial" w:eastAsia="Arial" w:hAnsi="Arial"/>
          <w:i/>
          <w:iCs/>
          <w:color w:val="9A9086"/>
          <w:sz w:val="22"/>
          <w:szCs w:val="22"/>
        </w:rPr>
        <w:t xml:space="preserve">What each indicator measures, how it is parameterised, and what price behaviour it is designed to detect.</w:t>
      </w:r>
    </w:p>
    <w:p>
      <w:pPr>
        <w:spacing w:after="60" w:before="160"/>
      </w:pPr>
      <w:r>
        <w:rPr>
          <w:rFonts w:ascii="Arial" w:cs="Arial" w:eastAsia="Arial" w:hAnsi="Arial"/>
          <w:b/>
          <w:bCs/>
          <w:color w:val="C8A96E"/>
          <w:spacing w:val="60"/>
          <w:sz w:val="16"/>
          <w:szCs w:val="16"/>
        </w:rPr>
        <w:t xml:space="preserve">SIMPLE MOVING AVERAGE (SMA)</w:t>
      </w:r>
    </w:p>
    <w:p>
      <w:pPr>
        <w:spacing w:after="120" w:before="0"/>
        <w:jc w:val="both"/>
      </w:pPr>
      <w:r>
        <w:rPr>
          <w:rFonts w:ascii="Arial" w:cs="Arial" w:eastAsia="Arial" w:hAnsi="Arial"/>
          <w:b w:val="false"/>
          <w:bCs w:val="false"/>
          <w:i w:val="false"/>
          <w:iCs w:val="false"/>
          <w:color w:val="1A1A1F"/>
          <w:sz w:val="20"/>
          <w:szCs w:val="20"/>
        </w:rPr>
        <w:t xml:space="preserve">Crossover of short-term and long-term moving average. Best suited to instruments with persistent trending behaviour. Parameters: Short period 10–30 days, Long period 40–80 days.</w:t>
      </w:r>
    </w:p>
    <w:p>
      <w:pPr>
        <w:spacing w:after="60" w:before="160"/>
      </w:pPr>
      <w:r>
        <w:rPr>
          <w:rFonts w:ascii="Arial" w:cs="Arial" w:eastAsia="Arial" w:hAnsi="Arial"/>
          <w:b/>
          <w:bCs/>
          <w:color w:val="C8A96E"/>
          <w:spacing w:val="60"/>
          <w:sz w:val="16"/>
          <w:szCs w:val="16"/>
        </w:rPr>
        <w:t xml:space="preserve">EXPONENTIAL MOVING AVERAGE (EMA)</w:t>
      </w:r>
    </w:p>
    <w:p>
      <w:pPr>
        <w:spacing w:after="120" w:before="0"/>
        <w:jc w:val="both"/>
      </w:pPr>
      <w:r>
        <w:rPr>
          <w:rFonts w:ascii="Arial" w:cs="Arial" w:eastAsia="Arial" w:hAnsi="Arial"/>
          <w:b w:val="false"/>
          <w:bCs w:val="false"/>
          <w:i w:val="false"/>
          <w:iCs w:val="false"/>
          <w:color w:val="1A1A1F"/>
          <w:sz w:val="20"/>
          <w:szCs w:val="20"/>
        </w:rPr>
        <w:t xml:space="preserve">Identical structure to SMA but applies exponentially greater weight to recent prices. Better suited to instruments with trend reversals or regime changes. Parameters: Short period 10–30 days, Long period 40–80 days.</w:t>
      </w:r>
    </w:p>
    <w:p>
      <w:pPr>
        <w:spacing w:after="60" w:before="160"/>
      </w:pPr>
      <w:r>
        <w:rPr>
          <w:rFonts w:ascii="Arial" w:cs="Arial" w:eastAsia="Arial" w:hAnsi="Arial"/>
          <w:b/>
          <w:bCs/>
          <w:color w:val="C8A96E"/>
          <w:spacing w:val="60"/>
          <w:sz w:val="16"/>
          <w:szCs w:val="16"/>
        </w:rPr>
        <w:t xml:space="preserve">MACD</w:t>
      </w:r>
    </w:p>
    <w:p>
      <w:pPr>
        <w:spacing w:after="120" w:before="0"/>
        <w:jc w:val="both"/>
      </w:pPr>
      <w:r>
        <w:rPr>
          <w:rFonts w:ascii="Arial" w:cs="Arial" w:eastAsia="Arial" w:hAnsi="Arial"/>
          <w:b w:val="false"/>
          <w:bCs w:val="false"/>
          <w:i w:val="false"/>
          <w:iCs w:val="false"/>
          <w:color w:val="1A1A1F"/>
          <w:sz w:val="20"/>
          <w:szCs w:val="20"/>
        </w:rPr>
        <w:t xml:space="preserve">Momentum indicator using convergence and divergence of two EMAs. Effective for instruments with cyclical momentum patterns. Parameters: Short EMA 5–20, Long EMA 20–50, Signal 5–15.</w:t>
      </w:r>
    </w:p>
    <w:p>
      <w:pPr>
        <w:spacing w:after="60" w:before="160"/>
      </w:pPr>
      <w:r>
        <w:rPr>
          <w:rFonts w:ascii="Arial" w:cs="Arial" w:eastAsia="Arial" w:hAnsi="Arial"/>
          <w:b/>
          <w:bCs/>
          <w:color w:val="C8A96E"/>
          <w:spacing w:val="60"/>
          <w:sz w:val="16"/>
          <w:szCs w:val="16"/>
        </w:rPr>
        <w:t xml:space="preserve">BOLLINGER BANDS (BB)</w:t>
      </w:r>
    </w:p>
    <w:p>
      <w:pPr>
        <w:spacing w:after="120" w:before="0"/>
        <w:jc w:val="both"/>
      </w:pPr>
      <w:r>
        <w:rPr>
          <w:rFonts w:ascii="Arial" w:cs="Arial" w:eastAsia="Arial" w:hAnsi="Arial"/>
          <w:b w:val="false"/>
          <w:bCs w:val="false"/>
          <w:i w:val="false"/>
          <w:iCs w:val="false"/>
          <w:color w:val="1A1A1F"/>
          <w:sz w:val="20"/>
          <w:szCs w:val="20"/>
        </w:rPr>
        <w:t xml:space="preserve">Volatility-based bands set at standard deviations around a moving average. Suited to instruments with periodic volatility expansions. Parameters: SMA period 10–30, Standard deviations 1–3.</w:t>
      </w:r>
    </w:p>
    <w:p>
      <w:pPr>
        <w:spacing w:after="60" w:before="160"/>
      </w:pPr>
      <w:r>
        <w:rPr>
          <w:rFonts w:ascii="Arial" w:cs="Arial" w:eastAsia="Arial" w:hAnsi="Arial"/>
          <w:b/>
          <w:bCs/>
          <w:color w:val="C8A96E"/>
          <w:spacing w:val="60"/>
          <w:sz w:val="16"/>
          <w:szCs w:val="16"/>
        </w:rPr>
        <w:t xml:space="preserve">RELATIVE STRENGTH INDEX (RSI)</w:t>
      </w:r>
    </w:p>
    <w:p>
      <w:pPr>
        <w:spacing w:after="120" w:before="0"/>
        <w:jc w:val="both"/>
      </w:pPr>
      <w:r>
        <w:rPr>
          <w:rFonts w:ascii="Arial" w:cs="Arial" w:eastAsia="Arial" w:hAnsi="Arial"/>
          <w:b w:val="false"/>
          <w:bCs w:val="false"/>
          <w:i w:val="false"/>
          <w:iCs w:val="false"/>
          <w:color w:val="1A1A1F"/>
          <w:sz w:val="20"/>
          <w:szCs w:val="20"/>
        </w:rPr>
        <w:t xml:space="preserve">Momentum oscillator measuring speed and magnitude of price movements. Suited to instruments with mean-reverting tendencies. Parameters: Period 10–20, Upper threshold 60–80, Lower threshold 20–40.</w:t>
      </w:r>
    </w:p>
    <w:p>
      <w:pPr>
        <w:spacing w:after="60" w:before="160"/>
      </w:pPr>
      <w:r>
        <w:rPr>
          <w:rFonts w:ascii="Arial" w:cs="Arial" w:eastAsia="Arial" w:hAnsi="Arial"/>
          <w:b/>
          <w:bCs/>
          <w:color w:val="C8A96E"/>
          <w:spacing w:val="60"/>
          <w:sz w:val="16"/>
          <w:szCs w:val="16"/>
        </w:rPr>
        <w:t xml:space="preserve">STOCHASTIC OSCILLATOR (SO)</w:t>
      </w:r>
    </w:p>
    <w:p>
      <w:pPr>
        <w:spacing w:after="120" w:before="0"/>
        <w:jc w:val="both"/>
      </w:pPr>
      <w:r>
        <w:rPr>
          <w:rFonts w:ascii="Arial" w:cs="Arial" w:eastAsia="Arial" w:hAnsi="Arial"/>
          <w:b w:val="false"/>
          <w:bCs w:val="false"/>
          <w:i w:val="false"/>
          <w:iCs w:val="false"/>
          <w:color w:val="1A1A1F"/>
          <w:sz w:val="20"/>
          <w:szCs w:val="20"/>
        </w:rPr>
        <w:t xml:space="preserve">Compares closing price to price range over a look-back period. Similar in intent to RSI but with different sensitivity characteristics. Parameters: Period 10–20, %D smoothing 2–5.</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3.  The Grid Search Methodology</w:t>
      </w:r>
    </w:p>
    <w:p>
      <w:pPr>
        <w:spacing w:after="120" w:before="0"/>
        <w:jc w:val="both"/>
      </w:pPr>
      <w:r>
        <w:rPr>
          <w:rFonts w:ascii="Arial" w:cs="Arial" w:eastAsia="Arial" w:hAnsi="Arial"/>
          <w:i/>
          <w:iCs/>
          <w:color w:val="9A9086"/>
          <w:sz w:val="22"/>
          <w:szCs w:val="22"/>
        </w:rPr>
        <w:t xml:space="preserve">How Vektor searches the full parameter space for each indicator and each instrument.</w:t>
      </w:r>
    </w:p>
    <w:p>
      <w:pPr>
        <w:spacing w:after="120" w:before="0"/>
        <w:jc w:val="both"/>
      </w:pPr>
      <w:r>
        <w:rPr>
          <w:rFonts w:ascii="Arial" w:cs="Arial" w:eastAsia="Arial" w:hAnsi="Arial"/>
          <w:b w:val="false"/>
          <w:bCs w:val="false"/>
          <w:i w:val="false"/>
          <w:iCs w:val="false"/>
          <w:color w:val="1A1A1F"/>
          <w:sz w:val="20"/>
          <w:szCs w:val="20"/>
        </w:rPr>
        <w:t xml:space="preserve">For each instrument and each of the six indicators, Vektor executes a full grid search across the indicator's parameter space. The grid search tests every combination of parameter values within defined ranges. Each combination is backtested against three years of daily price data.</w:t>
      </w:r>
    </w:p>
    <w:p>
      <w:pPr>
        <w:spacing w:after="120" w:before="0"/>
        <w:jc w:val="both"/>
      </w:pPr>
      <w:r>
        <w:rPr>
          <w:rFonts w:ascii="Arial" w:cs="Arial" w:eastAsia="Arial" w:hAnsi="Arial"/>
          <w:b w:val="false"/>
          <w:bCs w:val="false"/>
          <w:i w:val="false"/>
          <w:iCs w:val="false"/>
          <w:color w:val="1A1A1F"/>
          <w:sz w:val="20"/>
          <w:szCs w:val="20"/>
        </w:rPr>
        <w:t xml:space="preserve">For each tested configuration, the annualised Sharpe ratio is calculated — the primary selection criterion. The Sharpe ratio is selected because it simultaneously captures both return and risk of the signal's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Selection process: (1) Backtest all 6 indicators per instrument with full parameter grid search. (2) Calculate annualised Sharpe ratio for each configuration. (3) Select highest-Sharpe indicator. (4) Save to strategy record: indicator name, optimised parameters, backtest Sharpe. (5) XGBoost validates every live signal before execution.</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4.  XGBoost Signal Validation</w:t>
      </w:r>
    </w:p>
    <w:p>
      <w:pPr>
        <w:spacing w:after="120" w:before="0"/>
        <w:jc w:val="both"/>
      </w:pPr>
      <w:r>
        <w:rPr>
          <w:rFonts w:ascii="Arial" w:cs="Arial" w:eastAsia="Arial" w:hAnsi="Arial"/>
          <w:i/>
          <w:iCs/>
          <w:color w:val="9A9086"/>
          <w:sz w:val="22"/>
          <w:szCs w:val="22"/>
        </w:rPr>
        <w:t xml:space="preserve">Why a second validation layer is necessary — and how XGBoost provides it.</w:t>
      </w:r>
    </w:p>
    <w:p>
      <w:pPr>
        <w:spacing w:after="120" w:before="0"/>
        <w:jc w:val="both"/>
      </w:pPr>
      <w:r>
        <w:rPr>
          <w:rFonts w:ascii="Arial" w:cs="Arial" w:eastAsia="Arial" w:hAnsi="Arial"/>
          <w:b w:val="false"/>
          <w:bCs w:val="false"/>
          <w:i w:val="false"/>
          <w:iCs w:val="false"/>
          <w:color w:val="1A1A1F"/>
          <w:sz w:val="20"/>
          <w:szCs w:val="20"/>
        </w:rPr>
        <w:t xml:space="preserve">The grid search selects the optimal historical configuration for each instrument. But a signal that performed well in backtest is not guaranteed to be valid at the moment of execution. The XGBoost layer addresses this by providing real-time validation of every live signal before it reaches the execution layer.</w:t>
      </w:r>
    </w:p>
    <w:p>
      <w:pPr>
        <w:spacing w:after="120" w:before="0"/>
        <w:jc w:val="both"/>
      </w:pPr>
      <w:r>
        <w:rPr>
          <w:rFonts w:ascii="Arial" w:cs="Arial" w:eastAsia="Arial" w:hAnsi="Arial"/>
          <w:b w:val="false"/>
          <w:bCs w:val="false"/>
          <w:i w:val="false"/>
          <w:iCs w:val="false"/>
          <w:color w:val="1A1A1F"/>
          <w:sz w:val="20"/>
          <w:szCs w:val="20"/>
        </w:rPr>
        <w:t xml:space="preserve">XGBoost (Extreme Gradient Boosting) is a machine learning classification model trained on historical signal outcomes. The model outputs a confidence score for each live signal. Signals below the confidence threshold are filtered out before execution.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Two layers of rigour: the grid search optimises the signal for the instrument's historical behaviour. XGBoost validates the signal against current market conditions. Neither layer alone is sufficient — together they provide the systematic edge that neither a single indicator nor a pure ML model would achieve independently.</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5.  Transparency and Auditability</w:t>
      </w:r>
    </w:p>
    <w:p>
      <w:pPr>
        <w:spacing w:after="120" w:before="0"/>
        <w:jc w:val="both"/>
      </w:pPr>
      <w:r>
        <w:rPr>
          <w:rFonts w:ascii="Arial" w:cs="Arial" w:eastAsia="Arial" w:hAnsi="Arial"/>
          <w:i/>
          <w:iCs/>
          <w:color w:val="9A9086"/>
          <w:sz w:val="22"/>
          <w:szCs w:val="22"/>
        </w:rPr>
        <w:t xml:space="preserve">Every signal selection decision is recorded, visible, and explainable.</w:t>
      </w:r>
    </w:p>
    <w:p>
      <w:pPr>
        <w:spacing w:after="120" w:before="0"/>
        <w:jc w:val="both"/>
      </w:pPr>
      <w:r>
        <w:rPr>
          <w:rFonts w:ascii="Arial" w:cs="Arial" w:eastAsia="Arial" w:hAnsi="Arial"/>
          <w:b w:val="false"/>
          <w:bCs w:val="false"/>
          <w:i w:val="false"/>
          <w:iCs w:val="false"/>
          <w:color w:val="1A1A1F"/>
          <w:sz w:val="20"/>
          <w:szCs w:val="20"/>
        </w:rPr>
        <w:t xml:space="preserve">A portfolio manager using Vektor can examine, for every holding in every strategy: which indicator was selected and why, what parameters were optimised, what backtest Sharpe ratio justified the selection, and whether the XGBoost layer validated the most recent live signal. Nothing is a black box.</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6.  Conclusion</w:t>
      </w:r>
    </w:p>
    <w:p>
      <w:pPr>
        <w:spacing w:after="120" w:before="0"/>
        <w:jc w:val="both"/>
      </w:pPr>
      <w:r>
        <w:rPr>
          <w:rFonts w:ascii="Arial" w:cs="Arial" w:eastAsia="Arial" w:hAnsi="Arial"/>
          <w:i/>
          <w:iCs/>
          <w:color w:val="9A9086"/>
          <w:sz w:val="22"/>
          <w:szCs w:val="22"/>
        </w:rPr>
        <w:t xml:space="preserve">Per-instrument signal optimisation is not a marginal improvement over universal signal strategies — it is a structural change in how systematic signals are applied.</w:t>
      </w:r>
    </w:p>
    <w:p>
      <w:pPr>
        <w:spacing w:after="120" w:before="0"/>
        <w:jc w:val="both"/>
      </w:pPr>
      <w:r>
        <w:rPr>
          <w:rFonts w:ascii="Arial" w:cs="Arial" w:eastAsia="Arial" w:hAnsi="Arial"/>
          <w:b w:val="false"/>
          <w:bCs w:val="false"/>
          <w:i w:val="false"/>
          <w:iCs w:val="false"/>
          <w:color w:val="1A1A1F"/>
          <w:sz w:val="20"/>
          <w:szCs w:val="20"/>
        </w:rPr>
        <w:t xml:space="preserve">By searching the full parameter space for each of six indicators across every instrument, and validating every live signal through an XGBoost layer, Vektor ensures that each position is driven by the signal that actually works for that specific instrument — not the signal that works on average.</w:t>
      </w:r>
    </w:p>
    <w:p>
      <w:pPr>
        <w:spacing w:after="0" w:before="120"/>
      </w:pPr>
      <w:r>
        <w:t xml:space="preserve"/>
      </w:r>
    </w:p>
    <w:p>
      <w:pPr>
        <w:pBdr>
          <w:bottom w:val="single" w:color="D0CCCA" w:sz="4" w:space="2"/>
        </w:pBd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This paper describes Step 04 of the Vektor eleven-step workflow. For the full portfolio construction methodology, see WP-01. For the commercial case, see: Why Vektor. All documents available at investpuppy.com.</w:t>
            </w:r>
          </w:p>
        </w:tc>
      </w:tr>
    </w:tbl>
    <w:p>
      <w:pPr>
        <w:spacing w:after="0" w:before="60"/>
      </w:pPr>
      <w:r>
        <w:t xml:space="preserve"/>
      </w:r>
    </w:p>
    <w:p>
      <w:r>
        <w:rPr>
          <w:rFonts w:ascii="Courier New" w:cs="Courier New" w:eastAsia="Courier New" w:hAnsi="Courier New"/>
          <w:color w:val="9A9086"/>
          <w:sz w:val="14"/>
          <w:szCs w:val="14"/>
        </w:rPr>
        <w:t xml:space="preserve">investpuppy.com  ·  contact@investpuppy.com  ·  IP-WP-SIG-260501-1.0  ·  Copyright 2026 InvestPuppy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F"/>
      <w:sz w:val="40"/>
      <w:szCs w:val="40"/>
    </w:rPr>
  </w:style>
  <w:style w:type="paragraph" w:styleId="Heading2">
    <w:name w:val="Heading 2"/>
    <w:basedOn w:val="Normal"/>
    <w:next w:val="Normal"/>
    <w:qFormat/>
    <w:pPr>
      <w:spacing w:after="80" w:before="200"/>
      <w:outlineLvl w:val="1"/>
    </w:pPr>
    <w:rPr>
      <w:rFonts w:ascii="Arial" w:cs="Arial" w:eastAsia="Arial" w:hAnsi="Arial"/>
      <w:b/>
      <w:bCs/>
      <w:color w:val="1A1A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2026-05-05T00:02:05.465Z</dcterms:created>
  <dcterms:modified xsi:type="dcterms:W3CDTF">2026-05-05T00:02:05.465Z</dcterms:modified>
</cp:coreProperties>
</file>

<file path=docProps/custom.xml><?xml version="1.0" encoding="utf-8"?>
<Properties xmlns="http://schemas.openxmlformats.org/officeDocument/2006/custom-properties" xmlns:vt="http://schemas.openxmlformats.org/officeDocument/2006/docPropsVTypes"/>
</file>