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"/>
      </w:pPr>
      <w:r>
        <w:t xml:space="preserve"/>
      </w:r>
    </w:p>
    <w:p>
      <w:pPr>
        <w:pBdr>
          <w:bottom w:val="single" w:color="C8A96E" w:sz="12" w:space="4"/>
        </w:pBdr>
        <w:spacing w:after="120"/>
      </w:pPr>
    </w:p>
    <w:p>
      <w:pPr>
        <w:spacing w:after="0" w:before="80"/>
      </w:pPr>
      <w:r>
        <w:t xml:space="preserve"/>
      </w:r>
    </w:p>
    <w:p>
      <w:pPr>
        <w:spacing w:after="60" w:before="0"/>
      </w:pPr>
      <w:r>
        <w:rPr>
          <w:rFonts w:ascii="Arial" w:cs="Arial" w:eastAsia="Arial" w:hAnsi="Arial"/>
          <w:color w:val="9A9086"/>
          <w:spacing w:val="80"/>
          <w:sz w:val="16"/>
          <w:szCs w:val="16"/>
        </w:rPr>
        <w:t xml:space="preserve">VEKTOR RESEARCH SERIES  ·  2026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A1A1F"/>
          <w:sz w:val="52"/>
          <w:szCs w:val="52"/>
        </w:rPr>
        <w:t xml:space="preserve">Multi-Currency Portfolio Infrastructure</w:t>
      </w:r>
    </w:p>
    <w:p>
      <w:pPr>
        <w:spacing w:after="240" w:before="0"/>
      </w:pPr>
      <w:r>
        <w:rPr>
          <w:rFonts w:ascii="Arial" w:cs="Arial" w:eastAsia="Arial" w:hAnsi="Arial"/>
          <w:i/>
          <w:iCs/>
          <w:color w:val="9A9086"/>
          <w:sz w:val="22"/>
          <w:szCs w:val="22"/>
        </w:rPr>
        <w:t xml:space="preserve">How Vektor handles daily FX rate collection, currency-adjusted portfolio valuation, and cross-border mandate management — for any currency pair.</w:t>
      </w:r>
    </w:p>
    <w:p>
      <w:pPr>
        <w:pBdr>
          <w:bottom w:val="single" w:color="D0CCCA" w:sz="4" w:space="2"/>
        </w:pBdr>
        <w:spacing w:after="80"/>
      </w:pPr>
    </w:p>
    <w:p>
      <w:pPr>
        <w:spacing w:after="0" w:before="80"/>
      </w:pPr>
      <w:r>
        <w:t xml:space="preserve"/>
      </w:r>
    </w:p>
    <w:p>
      <w:pPr>
        <w:spacing w:after="60" w:before="0"/>
      </w:pPr>
      <w:r>
        <w:rPr>
          <w:rFonts w:ascii="Arial" w:cs="Arial" w:eastAsia="Arial" w:hAnsi="Arial"/>
          <w:color w:val="9A9086"/>
          <w:sz w:val="16"/>
          <w:szCs w:val="16"/>
        </w:rPr>
        <w:t xml:space="preserve">Vektor Research Series  ·  2026</w:t>
      </w:r>
    </w:p>
    <w:p>
      <w:r>
        <w:rPr>
          <w:rFonts w:ascii="Courier New" w:cs="Courier New" w:eastAsia="Courier New" w:hAnsi="Courier New"/>
          <w:color w:val="9A9086"/>
          <w:sz w:val="14"/>
          <w:szCs w:val="14"/>
        </w:rPr>
        <w:t xml:space="preserve">IP-WP-FX-260501-1.0</w:t>
      </w:r>
    </w:p>
    <w:p>
      <w:r>
        <w:rPr>
          <w:rFonts w:ascii="Arial" w:cs="Arial" w:eastAsia="Arial" w:hAnsi="Arial"/>
          <w:color w:val="9A9086"/>
          <w:sz w:val="16"/>
          <w:szCs w:val="16"/>
        </w:rPr>
        <w:t xml:space="preserve">May 2026</w:t>
      </w:r>
    </w:p>
    <w:p>
      <w:r>
        <w:rPr>
          <w:rFonts w:ascii="Arial" w:cs="Arial" w:eastAsia="Arial" w:hAnsi="Arial"/>
          <w:color w:val="C8A96E"/>
          <w:sz w:val="16"/>
          <w:szCs w:val="16"/>
        </w:rPr>
        <w:t xml:space="preserve">investpuppy.com</w:t>
      </w:r>
    </w:p>
    <w:p>
      <w:pPr>
        <w:pageBreakBefore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8A96E"/>
          <w:spacing w:val="80"/>
          <w:sz w:val="14"/>
          <w:szCs w:val="14"/>
        </w:rPr>
        <w:t xml:space="preserve">ABSTRACT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518"/>
      </w:tblGrid>
      <w:tr>
        <w:tc>
          <w:tcPr>
            <w:tcW w:type="dxa" w:w="120"/>
            <w:tcBorders>
              <w:top w:val="none"/>
              <w:left w:val="none"/>
              <w:bottom w:val="none"/>
              <w:right w:val="none"/>
            </w:tcBorders>
            <w:shd w:fill="C8A96E" w:val="clear"/>
          </w:tcPr>
          <w:p>
            <w:r>
              <w:t xml:space="preserve"/>
            </w:r>
          </w:p>
        </w:tc>
        <w:tc>
          <w:tcPr>
            <w:tcW w:type="dxa" w:w="9518"/>
            <w:tcBorders>
              <w:top w:val="none"/>
              <w:left w:val="none"/>
              <w:bottom w:val="none"/>
              <w:right w:val="none"/>
            </w:tcBorders>
            <w:shd w:fill="F2F1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i/>
                <w:iCs/>
                <w:color w:val="1A1A1F"/>
                <w:sz w:val="18"/>
                <w:szCs w:val="18"/>
              </w:rPr>
              <w:t xml:space="preserve">Wealth teams managing clients across multiple currencies face a persistent infrastructure problem: portfolio valuations, performance calculations, and allocation decisions that span currency boundaries require daily FX rate data, consistent currency conversion logic, and a portfolio architecture that treats multi-currency mandates as a first-class use case rather than an afterthought. This paper describes Vektor's multi-currency infrastructure.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8A96E"/>
          <w:spacing w:val="80"/>
          <w:sz w:val="14"/>
          <w:szCs w:val="14"/>
        </w:rPr>
        <w:t>Multi-currency is treated as a configuration option in most portfolio platforms. In Vektor, it is a first-class design requirement, built in from the first prototype. KEY TAKEAWAYS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1F"/>
          <w:sz w:val="20"/>
          <w:szCs w:val="20"/>
        </w:rPr>
        <w:t xml:space="preserve">Daily FX rate collection at 8 AM SGT ensures all portfolio valuations use current exchange rates — not rates from the previous week or quarter.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1F"/>
          <w:sz w:val="20"/>
          <w:szCs w:val="20"/>
        </w:rPr>
        <w:t xml:space="preserve">Currency conversion is applied at the position level — enabling accurate per-instrument P&amp;L attribution across currency boundaries.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1F"/>
          <w:sz w:val="20"/>
          <w:szCs w:val="20"/>
        </w:rPr>
        <w:t xml:space="preserve">Any base currency can be configured per client — the same strategy can be run for an SGD client and a USD client simultaneously.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1F"/>
          <w:sz w:val="20"/>
          <w:szCs w:val="20"/>
        </w:rPr>
        <w:t xml:space="preserve">FX rate history supports backwards-looking performance analysis in any reporting currency.</w:t>
      </w:r>
    </w:p>
    <w:p>
      <w:pPr>
        <w:spacing w:after="0" w:before="80"/>
      </w:pPr>
      <w:r>
        <w:t xml:space="preserve"/>
      </w:r>
    </w:p>
    <w:p>
      <w:pPr>
        <w:pBdr>
          <w:bottom w:val="single" w:color="D0CCCA" w:sz="4" w:space="2"/>
        </w:pBdr>
        <w:spacing w:after="80"/>
      </w:pPr>
    </w:p>
    <w:p>
      <w:r>
        <w:rPr>
          <w:rFonts w:ascii="Courier New" w:cs="Courier New" w:eastAsia="Courier New" w:hAnsi="Courier New"/>
          <w:color w:val="9A9086"/>
          <w:sz w:val="14"/>
          <w:szCs w:val="14"/>
        </w:rPr>
        <w:t xml:space="preserve">Reference: IP-WP-FX-260501-1.0  ·  Copyright 2026 InvestPuppy  ·  investpuppy.com</w:t>
      </w:r>
    </w:p>
    <w:p>
      <w:pPr>
        <w:pageBreakBefore/>
      </w:pPr>
      <w:r>
        <w:t xml:space="preserve"/>
      </w:r>
    </w:p>
    <w:p>
      <w:pPr>
        <w:pBdr>
          <w:bottom w:val="single" w:color="D0CCCA" w:sz="4" w:space="2"/>
        </w:pBdr>
        <w:spacing w:after="8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1A1F"/>
          <w:sz w:val="28"/>
          <w:szCs w:val="28"/>
        </w:rPr>
        <w:t xml:space="preserve">1.  The Multi-Currency Problem in Wealth Management</w:t>
      </w:r>
    </w:p>
    <w:p>
      <w:pPr>
        <w:spacing w:after="120" w:before="0"/>
        <w:jc w:val="both"/>
      </w:pPr>
      <w:r>
        <w:rPr>
          <w:rFonts w:ascii="Arial" w:cs="Arial" w:eastAsia="Arial" w:hAnsi="Arial"/>
          <w:i/>
          <w:iCs/>
          <w:color w:val="9A9086"/>
          <w:sz w:val="22"/>
          <w:szCs w:val="22"/>
        </w:rPr>
        <w:t xml:space="preserve">Why currency handling is not a peripheral feature — it is a core infrastructure requirement.</w:t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F"/>
          <w:sz w:val="20"/>
          <w:szCs w:val="20"/>
        </w:rPr>
        <w:t xml:space="preserve">A boutique family office managing clients across Singapore, the UK, and the US faces a currency challenge on every portfolio decision. An allocation to Singapore equities for a USD-base client requires real-time SGD/USD conversion for accurate position valuation. Without systematic currency handling, valuation errors compound over time.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518"/>
      </w:tblGrid>
      <w:tr>
        <w:tc>
          <w:tcPr>
            <w:tcW w:type="dxa" w:w="120"/>
            <w:tcBorders>
              <w:top w:val="none"/>
              <w:left w:val="none"/>
              <w:bottom w:val="none"/>
              <w:right w:val="none"/>
            </w:tcBorders>
            <w:shd w:fill="C8A96E" w:val="clear"/>
          </w:tcPr>
          <w:p>
            <w:r>
              <w:t xml:space="preserve"/>
            </w:r>
          </w:p>
        </w:tc>
        <w:tc>
          <w:tcPr>
            <w:tcW w:type="dxa" w:w="9518"/>
            <w:tcBorders>
              <w:top w:val="none"/>
              <w:left w:val="none"/>
              <w:bottom w:val="none"/>
              <w:right w:val="none"/>
            </w:tcBorders>
            <w:shd w:fill="F2F1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i/>
                <w:iCs/>
                <w:color w:val="1A1A1F"/>
                <w:sz w:val="18"/>
                <w:szCs w:val="18"/>
              </w:rPr>
              <w:t xml:space="preserve">The alternative — converting currencies manually using bank rates or periodic batch processes — introduces latency, inconsistency, and the risk of valuation errors that compound over time.</w:t>
            </w:r>
          </w:p>
        </w:tc>
      </w:tr>
    </w:tbl>
    <w:p>
      <w:pPr>
        <w:pBdr>
          <w:bottom w:val="single" w:color="D0CCCA" w:sz="4" w:space="2"/>
        </w:pBdr>
        <w:spacing w:after="8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1A1F"/>
          <w:sz w:val="28"/>
          <w:szCs w:val="28"/>
        </w:rPr>
        <w:t xml:space="preserve">2.  Daily FX Rate Collection</w:t>
      </w:r>
    </w:p>
    <w:p>
      <w:pPr>
        <w:spacing w:after="120" w:before="0"/>
        <w:jc w:val="both"/>
      </w:pPr>
      <w:r>
        <w:rPr>
          <w:rFonts w:ascii="Arial" w:cs="Arial" w:eastAsia="Arial" w:hAnsi="Arial"/>
          <w:i/>
          <w:iCs/>
          <w:color w:val="9A9086"/>
          <w:sz w:val="22"/>
          <w:szCs w:val="22"/>
        </w:rPr>
        <w:t xml:space="preserve">How Vektor collects and stores exchange rates — automatically, every market day.</w:t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F"/>
          <w:sz w:val="20"/>
          <w:szCs w:val="20"/>
        </w:rPr>
        <w:t xml:space="preserve">Vektor collects daily foreign exchange rates from Yahoo Finance at 8 AM SGT every market day — the same time as the daily OHLCV price data refresh. Rates are stored with full history, enabling backwards-looking FX-adjusted performance calculations across any time period. New currency pairs are added to the collection schedule automatically when a new mandate with a different base currency is configured.</w:t>
      </w:r>
    </w:p>
    <w:p>
      <w:pPr>
        <w:pBdr>
          <w:bottom w:val="single" w:color="D0CCCA" w:sz="4" w:space="2"/>
        </w:pBdr>
        <w:spacing w:after="8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1A1F"/>
          <w:sz w:val="28"/>
          <w:szCs w:val="28"/>
        </w:rPr>
        <w:t xml:space="preserve">3.  Currency-Adjusted Portfolio Valuation</w:t>
      </w:r>
    </w:p>
    <w:p>
      <w:pPr>
        <w:spacing w:after="120" w:before="0"/>
        <w:jc w:val="both"/>
      </w:pPr>
      <w:r>
        <w:rPr>
          <w:rFonts w:ascii="Arial" w:cs="Arial" w:eastAsia="Arial" w:hAnsi="Arial"/>
          <w:i/>
          <w:iCs/>
          <w:color w:val="9A9086"/>
          <w:sz w:val="22"/>
          <w:szCs w:val="22"/>
        </w:rPr>
        <w:t xml:space="preserve">How FX rates are applied at the position level to produce accurate cross-currency valuations.</w:t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F"/>
          <w:sz w:val="20"/>
          <w:szCs w:val="20"/>
        </w:rPr>
        <w:t xml:space="preserve">Portfolio valuation in the client's base currency requires applying the relevant FX rate to each position denominated in a foreign currency. Vektor applies currency conversion at the position level — not at the portfolio aggregate level. This distinction matters for performance attribution: a position that gained 5% in local currency terms but lost 3% due to currency movement contributed only 2% to portfolio return in the base currency.</w:t>
      </w:r>
    </w:p>
    <w:p>
      <w:pPr>
        <w:pBdr>
          <w:bottom w:val="single" w:color="D0CCCA" w:sz="4" w:space="2"/>
        </w:pBdr>
        <w:spacing w:after="8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1A1F"/>
          <w:sz w:val="28"/>
          <w:szCs w:val="28"/>
        </w:rPr>
        <w:t xml:space="preserve">4.  Per-Client Base Currency Configuration</w:t>
      </w:r>
    </w:p>
    <w:p>
      <w:pPr>
        <w:spacing w:after="120" w:before="0"/>
        <w:jc w:val="both"/>
      </w:pPr>
      <w:r>
        <w:rPr>
          <w:rFonts w:ascii="Arial" w:cs="Arial" w:eastAsia="Arial" w:hAnsi="Arial"/>
          <w:i/>
          <w:iCs/>
          <w:color w:val="9A9086"/>
          <w:sz w:val="22"/>
          <w:szCs w:val="22"/>
        </w:rPr>
        <w:t xml:space="preserve">How the same strategy serves clients with different base currencies simultaneously.</w:t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F"/>
          <w:sz w:val="20"/>
          <w:szCs w:val="20"/>
        </w:rPr>
        <w:t xml:space="preserve">Each client in Vektor has a configured base currency. The same investment strategy can simultaneously serve an SGD client and a USD client. For the SGD client, all valuations are in SGD. For the USD client, the same holdings are valued in USD using the daily SGD/USD rate. No manual conversion is required at any stage.</w:t>
      </w:r>
    </w:p>
    <w:p>
      <w:pPr>
        <w:pBdr>
          <w:bottom w:val="single" w:color="D0CCCA" w:sz="4" w:space="2"/>
        </w:pBdr>
        <w:spacing w:after="8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1A1F"/>
          <w:sz w:val="28"/>
          <w:szCs w:val="28"/>
        </w:rPr>
        <w:t xml:space="preserve">5.  Generalising Beyond SGD/USD</w:t>
      </w:r>
    </w:p>
    <w:p>
      <w:pPr>
        <w:spacing w:after="120" w:before="0"/>
        <w:jc w:val="both"/>
      </w:pPr>
      <w:r>
        <w:rPr>
          <w:rFonts w:ascii="Arial" w:cs="Arial" w:eastAsia="Arial" w:hAnsi="Arial"/>
          <w:i/>
          <w:iCs/>
          <w:color w:val="9A9086"/>
          <w:sz w:val="22"/>
          <w:szCs w:val="22"/>
        </w:rPr>
        <w:t xml:space="preserve">How the multi-currency infrastructure scales to any market and any currency pair.</w:t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F"/>
          <w:sz w:val="20"/>
          <w:szCs w:val="20"/>
        </w:rPr>
        <w:t xml:space="preserve">The multi-currency infrastructure described in this paper is not specific to SGD/USD. Any listed equity market can be configured — London-listed industrials in GBP, US equities in USD, European equities in EUR — and any base currency can be set per client. The FX collection schedule expands automatically as new currency pairs are required.</w:t>
      </w:r>
    </w:p>
    <w:p>
      <w:pPr>
        <w:pBdr>
          <w:bottom w:val="single" w:color="D0CCCA" w:sz="4" w:space="2"/>
        </w:pBdr>
        <w:spacing w:after="8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1A1F"/>
          <w:sz w:val="28"/>
          <w:szCs w:val="28"/>
        </w:rPr>
        <w:t xml:space="preserve">6.  Conclusion</w:t>
      </w:r>
    </w:p>
    <w:p>
      <w:pPr>
        <w:spacing w:after="120" w:before="0"/>
        <w:jc w:val="both"/>
      </w:pPr>
      <w:r>
        <w:rPr>
          <w:rFonts w:ascii="Arial" w:cs="Arial" w:eastAsia="Arial" w:hAnsi="Arial"/>
          <w:i/>
          <w:iCs/>
          <w:color w:val="9A9086"/>
          <w:sz w:val="22"/>
          <w:szCs w:val="22"/>
        </w:rPr>
        <w:t xml:space="preserve">Multi-currency support is not a feature to be added later. It is a requirement that must be designed in from the start.</w:t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F"/>
          <w:sz w:val="20"/>
          <w:szCs w:val="20"/>
        </w:rPr>
        <w:t xml:space="preserve">Vektor's daily FX collection, position-level currency conversion, and per-client base currency configuration provide the infrastructure that wealth teams managing cross-currency mandates require — without the manual processes, batch conversions, and valuation inconsistencies that characterise currency handling in spreadsheet-based workflows.</w:t>
      </w:r>
    </w:p>
    <w:p>
      <w:pPr>
        <w:spacing w:after="0" w:before="120"/>
      </w:pPr>
      <w:r>
        <w:t xml:space="preserve"/>
      </w:r>
    </w:p>
    <w:p>
      <w:pPr>
        <w:pBdr>
          <w:bottom w:val="single" w:color="D0CCCA" w:sz="4" w:space="2"/>
        </w:pBd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518"/>
      </w:tblGrid>
      <w:tr>
        <w:tc>
          <w:tcPr>
            <w:tcW w:type="dxa" w:w="120"/>
            <w:tcBorders>
              <w:top w:val="none"/>
              <w:left w:val="none"/>
              <w:bottom w:val="none"/>
              <w:right w:val="none"/>
            </w:tcBorders>
            <w:shd w:fill="C8A96E" w:val="clear"/>
          </w:tcPr>
          <w:p>
            <w:r>
              <w:t xml:space="preserve"/>
            </w:r>
          </w:p>
        </w:tc>
        <w:tc>
          <w:tcPr>
            <w:tcW w:type="dxa" w:w="9518"/>
            <w:tcBorders>
              <w:top w:val="none"/>
              <w:left w:val="none"/>
              <w:bottom w:val="none"/>
              <w:right w:val="none"/>
            </w:tcBorders>
            <w:shd w:fill="F2F1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i/>
                <w:iCs/>
                <w:color w:val="1A1A1F"/>
                <w:sz w:val="18"/>
                <w:szCs w:val="18"/>
              </w:rPr>
              <w:t xml:space="preserve">This paper describes Steps 10–11 of the Vektor workflow. For the full platform overview, see the Platform Brochure. For portfolio construction methodology, see WP-01. All documents at investpuppy.com.</w:t>
            </w:r>
          </w:p>
        </w:tc>
      </w:tr>
    </w:tbl>
    <w:p>
      <w:pPr>
        <w:spacing w:after="0" w:before="60"/>
      </w:pPr>
      <w:r>
        <w:t xml:space="preserve"/>
      </w:r>
    </w:p>
    <w:p>
      <w:r>
        <w:rPr>
          <w:rFonts w:ascii="Courier New" w:cs="Courier New" w:eastAsia="Courier New" w:hAnsi="Courier New"/>
          <w:color w:val="9A9086"/>
          <w:sz w:val="14"/>
          <w:szCs w:val="14"/>
        </w:rPr>
        <w:t xml:space="preserve">investpuppy.com  ·  contact@investpuppy.com  ·  IP-WP-FX-260501-1.0  ·  Copyright 2026 InvestPuppy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sz="4" w:space="4" w:color="888884"/>
      </w:pBdr>
      <w:tabs>
        <w:tab w:val="right" w:pos="9638"/>
      </w:tabs>
      <w:spacing w:before="0" w:after="0"/>
    </w:pPr>
    <w:r>
      <w:drawing>
        <wp:inline xmlns:a="http://schemas.openxmlformats.org/drawingml/2006/main" xmlns:pic="http://schemas.openxmlformats.org/drawingml/2006/picture">
          <wp:extent cx="1008000" cy="82543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PHorizontalInvCle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8000" cy="825431"/>
                  </a:xfrm>
                  <a:prstGeom prst="rect"/>
                </pic:spPr>
              </pic:pic>
            </a:graphicData>
          </a:graphic>
        </wp:inline>
      </w:drawing>
    </w:r>
    <w:r>
      <w:tab/>
    </w:r>
    <w:r>
      <w:rPr>
        <w:sz w:val="11"/>
        <w:color w:val="666660"/>
      </w:rPr>
      <w:t>investpuppy.com  ·  May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F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A1A1F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A1A1F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2026-05-05T00:02:05.503Z</dcterms:created>
  <dcterms:modified xsi:type="dcterms:W3CDTF">2026-05-05T00:02:05.503Z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