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pBdr>
          <w:bottom w:val="single" w:color="C8A96E" w:sz="12" w:space="4"/>
        </w:pBdr>
        <w:spacing w:after="120"/>
      </w:pPr>
    </w:p>
    <w:p>
      <w:pPr>
        <w:spacing w:after="0" w:before="80"/>
      </w:pPr>
      <w:r>
        <w:t xml:space="preserve"/>
      </w:r>
    </w:p>
    <w:p>
      <w:pPr>
        <w:spacing w:after="60" w:before="0"/>
      </w:pPr>
      <w:r>
        <w:rPr>
          <w:rFonts w:ascii="Arial" w:cs="Arial" w:eastAsia="Arial" w:hAnsi="Arial"/>
          <w:color w:val="9A9086"/>
          <w:spacing w:val="80"/>
          <w:sz w:val="16"/>
          <w:szCs w:val="16"/>
        </w:rPr>
        <w:t xml:space="preserve">VEKTOR RESEARCH SERIES  ·  2026</w:t>
      </w:r>
    </w:p>
    <w:p>
      <w:pPr>
        <w:spacing w:after="120" w:before="0"/>
      </w:pPr>
      <w:r>
        <w:rPr>
          <w:rFonts w:ascii="Arial" w:cs="Arial" w:eastAsia="Arial" w:hAnsi="Arial"/>
          <w:b/>
          <w:bCs/>
          <w:color w:val="1A1A1F"/>
          <w:sz w:val="52"/>
          <w:szCs w:val="52"/>
        </w:rPr>
        <w:t xml:space="preserve">Audit Trail &amp; Compliance Architecture</w:t>
      </w:r>
    </w:p>
    <w:p>
      <w:pPr>
        <w:spacing w:after="240" w:before="0"/>
      </w:pPr>
      <w:r>
        <w:rPr>
          <w:rFonts w:ascii="Arial" w:cs="Arial" w:eastAsia="Arial" w:hAnsi="Arial"/>
          <w:i/>
          <w:iCs/>
          <w:color w:val="9A9086"/>
          <w:sz w:val="22"/>
          <w:szCs w:val="22"/>
        </w:rPr>
        <w:t xml:space="preserve">How Vektor's three-role accountability structure, complete action logging, and transparent methodology support institutional compliance requirements in systematic equity portfolio management.</w:t>
      </w:r>
    </w:p>
    <w:p>
      <w:pPr>
        <w:pBdr>
          <w:bottom w:val="single" w:color="D0CCCA" w:sz="4" w:space="2"/>
        </w:pBdr>
        <w:spacing w:after="80"/>
      </w:pPr>
    </w:p>
    <w:p>
      <w:pPr>
        <w:spacing w:after="0" w:before="80"/>
      </w:pPr>
      <w:r>
        <w:t xml:space="preserve"/>
      </w:r>
    </w:p>
    <w:p>
      <w:pPr>
        <w:spacing w:after="60" w:before="0"/>
      </w:pPr>
      <w:r>
        <w:rPr>
          <w:rFonts w:ascii="Arial" w:cs="Arial" w:eastAsia="Arial" w:hAnsi="Arial"/>
          <w:color w:val="9A9086"/>
          <w:sz w:val="16"/>
          <w:szCs w:val="16"/>
        </w:rPr>
        <w:t xml:space="preserve">Vektor Research Series  ·  2026</w:t>
      </w:r>
    </w:p>
    <w:p>
      <w:r>
        <w:rPr>
          <w:rFonts w:ascii="Courier New" w:cs="Courier New" w:eastAsia="Courier New" w:hAnsi="Courier New"/>
          <w:color w:val="9A9086"/>
          <w:sz w:val="14"/>
          <w:szCs w:val="14"/>
        </w:rPr>
        <w:t xml:space="preserve">IP-WP-AUD-260501-1.0</w:t>
      </w:r>
    </w:p>
    <w:p>
      <w:r>
        <w:rPr>
          <w:rFonts w:ascii="Arial" w:cs="Arial" w:eastAsia="Arial" w:hAnsi="Arial"/>
          <w:color w:val="9A9086"/>
          <w:sz w:val="16"/>
          <w:szCs w:val="16"/>
        </w:rPr>
        <w:t xml:space="preserve">May 2026</w:t>
      </w:r>
    </w:p>
    <w:p>
      <w:r>
        <w:rPr>
          <w:rFonts w:ascii="Arial" w:cs="Arial" w:eastAsia="Arial" w:hAnsi="Arial"/>
          <w:color w:val="C8A96E"/>
          <w:sz w:val="16"/>
          <w:szCs w:val="16"/>
        </w:rPr>
        <w:t xml:space="preserve">investpuppy.com</w:t>
      </w:r>
    </w:p>
    <w:p>
      <w:pPr>
        <w:pageBreakBefore/>
      </w:pPr>
      <w:r>
        <w:t xml:space="preserve"/>
      </w:r>
    </w:p>
    <w:p>
      <w:pPr>
        <w:spacing w:after="60" w:before="160"/>
      </w:pPr>
      <w:r>
        <w:rPr>
          <w:rFonts w:ascii="Arial" w:cs="Arial" w:eastAsia="Arial" w:hAnsi="Arial"/>
          <w:b/>
          <w:bCs/>
          <w:color w:val="C8A96E"/>
          <w:spacing w:val="80"/>
          <w:sz w:val="14"/>
          <w:szCs w:val="14"/>
        </w:rPr>
        <w:t xml:space="preserve">ABSTRACT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Systematic portfolio management platforms are frequently described as black boxes by institutional compliance reviewers — algorithms that make decisions without producing the documentation that compliance frameworks require. Vektor is designed specifically to invert this. This paper describes the platform's three-role accountability architecture, its complete action logging across every stage of the investment workflow, and the compliance-ready audit trail that is produced automatically as a by-product of normal platform operation.</w:t>
            </w:r>
          </w:p>
        </w:tc>
      </w:tr>
    </w:tbl>
    <w:p>
      <w:pPr>
        <w:spacing w:after="0" w:before="80"/>
      </w:pPr>
      <w:r>
        <w:t xml:space="preserve"/>
      </w:r>
    </w:p>
    <w:p>
      <w:pPr>
        <w:spacing w:after="60" w:before="160"/>
      </w:pPr>
      <w:r>
        <w:rPr>
          <w:rFonts w:ascii="Arial" w:cs="Arial" w:eastAsia="Arial" w:hAnsi="Arial"/>
          <w:b/>
          <w:bCs/>
          <w:color w:val="C8A96E"/>
          <w:spacing w:val="80"/>
          <w:sz w:val="14"/>
          <w:szCs w:val="14"/>
        </w:rPr>
        <w:t xml:space="preserve">KEY TAKEAWAYS</w:t>
      </w:r>
    </w:p>
    <w:p>
      <w:pPr>
        <w:pStyle w:val="ListParagraph"/>
        <w:numPr>
          <w:ilvl w:val="0"/>
          <w:numId w:val="2"/>
        </w:numPr>
        <w:spacing w:after="60" w:before="0"/>
      </w:pPr>
      <w:r>
        <w:rPr>
          <w:rFonts w:ascii="Arial" w:cs="Arial" w:eastAsia="Arial" w:hAnsi="Arial"/>
          <w:color w:val="1A1A1F"/>
          <w:sz w:val="20"/>
          <w:szCs w:val="20"/>
        </w:rPr>
        <w:t xml:space="preserve">Three distinct user roles — Stock Analyst, Portfolio Manager, Operations — with defined scopes and separate approval gates at each stage.</w:t>
      </w:r>
    </w:p>
    <w:p>
      <w:pPr>
        <w:pStyle w:val="ListParagraph"/>
        <w:numPr>
          <w:ilvl w:val="0"/>
          <w:numId w:val="2"/>
        </w:numPr>
        <w:spacing w:after="60" w:before="0"/>
      </w:pPr>
      <w:r>
        <w:rPr>
          <w:rFonts w:ascii="Arial" w:cs="Arial" w:eastAsia="Arial" w:hAnsi="Arial"/>
          <w:color w:val="1A1A1F"/>
          <w:sz w:val="20"/>
          <w:szCs w:val="20"/>
        </w:rPr>
        <w:t xml:space="preserve">Every action across strategy creation, client onboarding, allocation, cash funding, and trade preparation is logged with timestamp and user identity.</w:t>
      </w:r>
    </w:p>
    <w:p>
      <w:pPr>
        <w:pStyle w:val="ListParagraph"/>
        <w:numPr>
          <w:ilvl w:val="0"/>
          <w:numId w:val="2"/>
        </w:numPr>
        <w:spacing w:after="60" w:before="0"/>
      </w:pPr>
      <w:r>
        <w:rPr>
          <w:rFonts w:ascii="Arial" w:cs="Arial" w:eastAsia="Arial" w:hAnsi="Arial"/>
          <w:color w:val="1A1A1F"/>
          <w:sz w:val="20"/>
          <w:szCs w:val="20"/>
        </w:rPr>
        <w:t xml:space="preserve">No position can be established without explicit portfolio manager approval of the complete strategy — instruments, weights, indicators, and Sharpe ratios.</w:t>
      </w:r>
    </w:p>
    <w:p>
      <w:pPr>
        <w:pStyle w:val="ListParagraph"/>
        <w:numPr>
          <w:ilvl w:val="0"/>
          <w:numId w:val="2"/>
        </w:numPr>
        <w:spacing w:after="60" w:before="0"/>
      </w:pPr>
      <w:r>
        <w:rPr>
          <w:rFonts w:ascii="Arial" w:cs="Arial" w:eastAsia="Arial" w:hAnsi="Arial"/>
          <w:color w:val="1A1A1F"/>
          <w:sz w:val="20"/>
          <w:szCs w:val="20"/>
        </w:rPr>
        <w:t xml:space="preserve">The methodology is transparent by design: every signal, every weight, and every backtest result is visible and explainable before execution.</w:t>
      </w:r>
    </w:p>
    <w:p>
      <w:pPr>
        <w:pStyle w:val="ListParagraph"/>
        <w:numPr>
          <w:ilvl w:val="0"/>
          <w:numId w:val="2"/>
        </w:numPr>
        <w:spacing w:after="60" w:before="0"/>
      </w:pPr>
      <w:r>
        <w:rPr>
          <w:rFonts w:ascii="Arial" w:cs="Arial" w:eastAsia="Arial" w:hAnsi="Arial"/>
          <w:color w:val="1A1A1F"/>
          <w:sz w:val="20"/>
          <w:szCs w:val="20"/>
        </w:rPr>
        <w:t xml:space="preserve">Cash movements carry a full audit trail — currency, amount, date, reference — ready for compliance review at any point.</w:t>
      </w:r>
    </w:p>
    <w:p>
      <w:pPr>
        <w:spacing w:after="0" w:before="80"/>
      </w:pPr>
      <w:r>
        <w:t xml:space="preserve"/>
      </w:r>
    </w:p>
    <w:p>
      <w:pPr>
        <w:pBdr>
          <w:bottom w:val="single" w:color="D0CCCA" w:sz="4" w:space="2"/>
        </w:pBdr>
        <w:spacing w:after="80"/>
      </w:pPr>
    </w:p>
    <w:p>
      <w:r>
        <w:rPr>
          <w:rFonts w:ascii="Courier New" w:cs="Courier New" w:eastAsia="Courier New" w:hAnsi="Courier New"/>
          <w:color w:val="9A9086"/>
          <w:sz w:val="14"/>
          <w:szCs w:val="14"/>
        </w:rPr>
        <w:t xml:space="preserve">Reference: IP-WP-AUD-260501-1.0  ·  Copyright 2026 InvestPuppy  ·  investpuppy.com</w:t>
      </w:r>
    </w:p>
    <w:p>
      <w:pPr>
        <w:pageBreakBefore/>
      </w:pPr>
      <w:r>
        <w:t xml:space="preserve"/>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1.  The Compliance Problem with Systematic Platforms</w:t>
      </w:r>
    </w:p>
    <w:p>
      <w:pPr>
        <w:spacing w:after="120" w:before="0"/>
        <w:jc w:val="both"/>
      </w:pPr>
      <w:r>
        <w:rPr>
          <w:rFonts w:ascii="Arial" w:cs="Arial" w:eastAsia="Arial" w:hAnsi="Arial"/>
          <w:i/>
          <w:iCs/>
          <w:color w:val="9A9086"/>
          <w:sz w:val="22"/>
          <w:szCs w:val="22"/>
        </w:rPr>
        <w:t xml:space="preserve">Why most systematic portfolio platforms fail institutional compliance review.</w:t>
      </w:r>
    </w:p>
    <w:p>
      <w:pPr>
        <w:spacing w:after="120" w:before="0"/>
        <w:jc w:val="both"/>
      </w:pPr>
      <w:r>
        <w:rPr>
          <w:rFonts w:ascii="Arial" w:cs="Arial" w:eastAsia="Arial" w:hAnsi="Arial"/>
          <w:b w:val="false"/>
          <w:bCs w:val="false"/>
          <w:i w:val="false"/>
          <w:iCs w:val="false"/>
          <w:color w:val="1A1A1F"/>
          <w:sz w:val="20"/>
          <w:szCs w:val="20"/>
        </w:rPr>
        <w:t xml:space="preserve">A systematic platform that produces a portfolio allocation without a complete record of how that allocation was generated creates a compliance gap. Compliance reviewers require evidence that investment decisions were made within defined parameters, that approval gates were observed, that client mandates were applied correctly, and that the full chain of events from research to execution is documented and retrievable.</w:t>
      </w:r>
    </w:p>
    <w:p>
      <w:pPr>
        <w:spacing w:after="120" w:before="0"/>
        <w:jc w:val="both"/>
      </w:pPr>
      <w:r>
        <w:rPr>
          <w:rFonts w:ascii="Arial" w:cs="Arial" w:eastAsia="Arial" w:hAnsi="Arial"/>
          <w:b w:val="false"/>
          <w:bCs w:val="false"/>
          <w:i w:val="false"/>
          <w:iCs w:val="false"/>
          <w:color w:val="1A1A1F"/>
          <w:sz w:val="20"/>
          <w:szCs w:val="20"/>
        </w:rPr>
        <w:t xml:space="preserve">Vektor is designed so that the compliance documentation is a natural output of normal platform operation. Every action required to create and execute a strategy produces a log entry.</w:t>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2.  The Three-Role Architecture</w:t>
      </w:r>
    </w:p>
    <w:p>
      <w:pPr>
        <w:spacing w:after="120" w:before="0"/>
        <w:jc w:val="both"/>
      </w:pPr>
      <w:r>
        <w:rPr>
          <w:rFonts w:ascii="Arial" w:cs="Arial" w:eastAsia="Arial" w:hAnsi="Arial"/>
          <w:i/>
          <w:iCs/>
          <w:color w:val="9A9086"/>
          <w:sz w:val="22"/>
          <w:szCs w:val="22"/>
        </w:rPr>
        <w:t xml:space="preserve">How accountability is separated across Stock Analyst, Portfolio Manager, and Operations — and why each boundary matters.</w:t>
      </w:r>
    </w:p>
    <w:p>
      <w:pPr>
        <w:spacing w:after="60" w:before="160"/>
      </w:pPr>
      <w:r>
        <w:rPr>
          <w:rFonts w:ascii="Arial" w:cs="Arial" w:eastAsia="Arial" w:hAnsi="Arial"/>
          <w:b/>
          <w:bCs/>
          <w:color w:val="C8A96E"/>
          <w:spacing w:val="60"/>
          <w:sz w:val="16"/>
          <w:szCs w:val="16"/>
        </w:rPr>
        <w:t xml:space="preserve">STOCK ANALYST</w:t>
      </w:r>
    </w:p>
    <w:p>
      <w:pPr>
        <w:spacing w:after="120" w:before="0"/>
        <w:jc w:val="both"/>
      </w:pPr>
      <w:r>
        <w:rPr>
          <w:rFonts w:ascii="Arial" w:cs="Arial" w:eastAsia="Arial" w:hAnsi="Arial"/>
          <w:b w:val="false"/>
          <w:bCs w:val="false"/>
          <w:i w:val="false"/>
          <w:iCs w:val="false"/>
          <w:color w:val="1A1A1F"/>
          <w:sz w:val="20"/>
          <w:szCs w:val="20"/>
        </w:rPr>
        <w:t xml:space="preserve">Responsible for research and strategy construction: screening the investable universe, running portfolio optimisation, selecting per-instrument signals, and producing a fully specified strategy. The Analyst cannot approve a strategy for client assignment — this requires a separate Portfolio Manager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Scope: universe screening, portfolio optimisation, signal selection, strategy specification.</w:t>
            </w:r>
          </w:p>
        </w:tc>
      </w:tr>
    </w:tbl>
    <w:p>
      <w:pPr>
        <w:spacing w:after="60" w:before="160"/>
      </w:pPr>
      <w:r>
        <w:rPr>
          <w:rFonts w:ascii="Arial" w:cs="Arial" w:eastAsia="Arial" w:hAnsi="Arial"/>
          <w:b/>
          <w:bCs/>
          <w:color w:val="C8A96E"/>
          <w:spacing w:val="60"/>
          <w:sz w:val="16"/>
          <w:szCs w:val="16"/>
        </w:rPr>
        <w:t xml:space="preserve">PORTFOLIO MANAGER</w:t>
      </w:r>
    </w:p>
    <w:p>
      <w:pPr>
        <w:spacing w:after="120" w:before="0"/>
        <w:jc w:val="both"/>
      </w:pPr>
      <w:r>
        <w:rPr>
          <w:rFonts w:ascii="Arial" w:cs="Arial" w:eastAsia="Arial" w:hAnsi="Arial"/>
          <w:b w:val="false"/>
          <w:bCs w:val="false"/>
          <w:i w:val="false"/>
          <w:iCs w:val="false"/>
          <w:color w:val="1A1A1F"/>
          <w:sz w:val="20"/>
          <w:szCs w:val="20"/>
        </w:rPr>
        <w:t xml:space="preserve">Responsible for strategy review and approval, client onboarding, and allocation execution. The PM reviews the complete strategy — instruments, weights, indicators, backtest Sharpe ratios — before approving it for client assignment. The PM cannot fund the cash account — this requires Operations.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Scope: strategy approval, client creation, portfolio setup, allocation execution.</w:t>
            </w:r>
          </w:p>
        </w:tc>
      </w:tr>
    </w:tbl>
    <w:p>
      <w:pPr>
        <w:spacing w:after="60" w:before="160"/>
      </w:pPr>
      <w:r>
        <w:rPr>
          <w:rFonts w:ascii="Arial" w:cs="Arial" w:eastAsia="Arial" w:hAnsi="Arial"/>
          <w:b/>
          <w:bCs/>
          <w:color w:val="C8A96E"/>
          <w:spacing w:val="60"/>
          <w:sz w:val="16"/>
          <w:szCs w:val="16"/>
        </w:rPr>
        <w:t xml:space="preserve">OPERATIONS</w:t>
      </w:r>
    </w:p>
    <w:p>
      <w:pPr>
        <w:spacing w:after="120" w:before="0"/>
        <w:jc w:val="both"/>
      </w:pPr>
      <w:r>
        <w:rPr>
          <w:rFonts w:ascii="Arial" w:cs="Arial" w:eastAsia="Arial" w:hAnsi="Arial"/>
          <w:b w:val="false"/>
          <w:bCs w:val="false"/>
          <w:i w:val="false"/>
          <w:iCs w:val="false"/>
          <w:color w:val="1A1A1F"/>
          <w:sz w:val="20"/>
          <w:szCs w:val="20"/>
        </w:rPr>
        <w:t xml:space="preserve">Responsible for cash account management — recording deposits, verifying funding, and maintaining the cash movement audit trail. Operations cannot create strategies or approve allocations.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Scope: cash account creation, deposit recording, audit trail maintenance.</w:t>
            </w:r>
          </w:p>
        </w:tc>
      </w:tr>
    </w:tbl>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3.  What is Logged and When</w:t>
      </w:r>
    </w:p>
    <w:p>
      <w:pPr>
        <w:spacing w:after="120" w:before="0"/>
        <w:jc w:val="both"/>
      </w:pPr>
      <w:r>
        <w:rPr>
          <w:rFonts w:ascii="Arial" w:cs="Arial" w:eastAsia="Arial" w:hAnsi="Arial"/>
          <w:i/>
          <w:iCs/>
          <w:color w:val="9A9086"/>
          <w:sz w:val="22"/>
          <w:szCs w:val="22"/>
        </w:rPr>
        <w:t xml:space="preserve">A complete record of every action across the eleven-step workflow.</w:t>
      </w:r>
    </w:p>
    <w:p>
      <w:pPr>
        <w:spacing w:after="120" w:before="0"/>
        <w:jc w:val="both"/>
      </w:pPr>
      <w:r>
        <w:rPr>
          <w:rFonts w:ascii="Arial" w:cs="Arial" w:eastAsia="Arial" w:hAnsi="Arial"/>
          <w:b w:val="false"/>
          <w:bCs w:val="false"/>
          <w:i w:val="false"/>
          <w:iCs w:val="false"/>
          <w:color w:val="1A1A1F"/>
          <w:sz w:val="20"/>
          <w:szCs w:val="20"/>
        </w:rPr>
        <w:t xml:space="preserve">Strategy creation: Analyst ID, strategy name, universe specification, screening parameters, simulation count, per-instrument signal assignments, backtest Sharpe ratios. Timestamp.</w:t>
      </w:r>
    </w:p>
    <w:p>
      <w:pPr>
        <w:spacing w:after="120" w:before="0"/>
        <w:jc w:val="both"/>
      </w:pPr>
      <w:r>
        <w:rPr>
          <w:rFonts w:ascii="Arial" w:cs="Arial" w:eastAsia="Arial" w:hAnsi="Arial"/>
          <w:b w:val="false"/>
          <w:bCs w:val="false"/>
          <w:i w:val="false"/>
          <w:iCs w:val="false"/>
          <w:color w:val="1A1A1F"/>
          <w:sz w:val="20"/>
          <w:szCs w:val="20"/>
        </w:rPr>
        <w:t xml:space="preserve">Strategy approval: PM ID, strategy ID, approval status, review timestamp. No position can be assigned to a client before this record exists.</w:t>
      </w:r>
    </w:p>
    <w:p>
      <w:pPr>
        <w:spacing w:after="120" w:before="0"/>
        <w:jc w:val="both"/>
      </w:pPr>
      <w:r>
        <w:rPr>
          <w:rFonts w:ascii="Arial" w:cs="Arial" w:eastAsia="Arial" w:hAnsi="Arial"/>
          <w:b w:val="false"/>
          <w:bCs w:val="false"/>
          <w:i w:val="false"/>
          <w:iCs w:val="false"/>
          <w:color w:val="1A1A1F"/>
          <w:sz w:val="20"/>
          <w:szCs w:val="20"/>
        </w:rPr>
        <w:t xml:space="preserve">Client creation: PM ID, client name, type, risk profile, base currency, KYC status. Timestamp.</w:t>
      </w:r>
    </w:p>
    <w:p>
      <w:pPr>
        <w:spacing w:after="120" w:before="0"/>
        <w:jc w:val="both"/>
      </w:pPr>
      <w:r>
        <w:rPr>
          <w:rFonts w:ascii="Arial" w:cs="Arial" w:eastAsia="Arial" w:hAnsi="Arial"/>
          <w:b w:val="false"/>
          <w:bCs w:val="false"/>
          <w:i w:val="false"/>
          <w:iCs w:val="false"/>
          <w:color w:val="1A1A1F"/>
          <w:sz w:val="20"/>
          <w:szCs w:val="20"/>
        </w:rPr>
        <w:t xml:space="preserve">Portfolio creation: PM ID, portfolio ID, client linkage, assigned strategy, configured capital. Timestamp.</w:t>
      </w:r>
    </w:p>
    <w:p>
      <w:pPr>
        <w:spacing w:after="120" w:before="0"/>
        <w:jc w:val="both"/>
      </w:pPr>
      <w:r>
        <w:rPr>
          <w:rFonts w:ascii="Arial" w:cs="Arial" w:eastAsia="Arial" w:hAnsi="Arial"/>
          <w:b w:val="false"/>
          <w:bCs w:val="false"/>
          <w:i w:val="false"/>
          <w:iCs w:val="false"/>
          <w:color w:val="1A1A1F"/>
          <w:sz w:val="20"/>
          <w:szCs w:val="20"/>
        </w:rPr>
        <w:t xml:space="preserve">Allocation calculation: PM ID, portfolio ID, live prices fetched, weight-to-share calculations, lot size rounding applied, cash buffer reserved, efficiency percentage. Timestamp.</w:t>
      </w:r>
    </w:p>
    <w:p>
      <w:pPr>
        <w:spacing w:after="120" w:before="0"/>
        <w:jc w:val="both"/>
      </w:pPr>
      <w:r>
        <w:rPr>
          <w:rFonts w:ascii="Arial" w:cs="Arial" w:eastAsia="Arial" w:hAnsi="Arial"/>
          <w:b w:val="false"/>
          <w:bCs w:val="false"/>
          <w:i w:val="false"/>
          <w:iCs w:val="false"/>
          <w:color w:val="1A1A1F"/>
          <w:sz w:val="20"/>
          <w:szCs w:val="20"/>
        </w:rPr>
        <w:t xml:space="preserve">Cash deposit: Operations ID, portfolio ID, currency, amount, wire reference, resulting cash balance. Timestamp.</w:t>
      </w:r>
    </w:p>
    <w:p>
      <w:pPr>
        <w:spacing w:after="120" w:before="0"/>
        <w:jc w:val="both"/>
      </w:pPr>
      <w:r>
        <w:rPr>
          <w:rFonts w:ascii="Arial" w:cs="Arial" w:eastAsia="Arial" w:hAnsi="Arial"/>
          <w:b w:val="false"/>
          <w:bCs w:val="false"/>
          <w:i w:val="false"/>
          <w:iCs w:val="false"/>
          <w:color w:val="1A1A1F"/>
          <w:sz w:val="20"/>
          <w:szCs w:val="20"/>
        </w:rPr>
        <w:t xml:space="preserve">Market data refresh: Instrument count updated, price history extended, FX rates updated. Timestamp. Automatic — no manual action required.</w:t>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4.  Transparency as a Compliance Property</w:t>
      </w:r>
    </w:p>
    <w:p>
      <w:pPr>
        <w:spacing w:after="120" w:before="0"/>
        <w:jc w:val="both"/>
      </w:pPr>
      <w:r>
        <w:rPr>
          <w:rFonts w:ascii="Arial" w:cs="Arial" w:eastAsia="Arial" w:hAnsi="Arial"/>
          <w:i/>
          <w:iCs/>
          <w:color w:val="9A9086"/>
          <w:sz w:val="22"/>
          <w:szCs w:val="22"/>
        </w:rPr>
        <w:t xml:space="preserve">Why a transparent methodology is a compliance asset — not just a design choice.</w:t>
      </w:r>
    </w:p>
    <w:p>
      <w:pPr>
        <w:spacing w:after="120" w:before="0"/>
        <w:jc w:val="both"/>
      </w:pPr>
      <w:r>
        <w:rPr>
          <w:rFonts w:ascii="Arial" w:cs="Arial" w:eastAsia="Arial" w:hAnsi="Arial"/>
          <w:b w:val="false"/>
          <w:bCs w:val="false"/>
          <w:i w:val="false"/>
          <w:iCs w:val="false"/>
          <w:color w:val="1A1A1F"/>
          <w:sz w:val="20"/>
          <w:szCs w:val="20"/>
        </w:rPr>
        <w:t xml:space="preserve">A compliance reviewer examining a position in a Vektor portfolio can trace the complete decision chain: which analyst created the strategy and when, which optimisation run produced the weights, which indicator was assigned to the position and why, which portfolio manager approved the strategy and when, how the share quantity was calculated, and what cash was available at the time of allocation. No step in this chain is invisible or requires reconstruction from memory.</w:t>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5.  What is Not Yet in Scope</w:t>
      </w:r>
    </w:p>
    <w:p>
      <w:pPr>
        <w:spacing w:after="120" w:before="0"/>
        <w:jc w:val="both"/>
      </w:pPr>
      <w:r>
        <w:rPr>
          <w:rFonts w:ascii="Arial" w:cs="Arial" w:eastAsia="Arial" w:hAnsi="Arial"/>
          <w:i/>
          <w:iCs/>
          <w:color w:val="9A9086"/>
          <w:sz w:val="22"/>
          <w:szCs w:val="22"/>
        </w:rPr>
        <w:t xml:space="preserve">Honesty about the current compliance scope — and what is on the roadmap.</w:t>
      </w:r>
    </w:p>
    <w:p>
      <w:pPr>
        <w:spacing w:after="120" w:before="0"/>
        <w:jc w:val="both"/>
      </w:pPr>
      <w:r>
        <w:rPr>
          <w:rFonts w:ascii="Arial" w:cs="Arial" w:eastAsia="Arial" w:hAnsi="Arial"/>
          <w:b w:val="false"/>
          <w:bCs w:val="false"/>
          <w:i w:val="false"/>
          <w:iCs w:val="false"/>
          <w:color w:val="1A1A1F"/>
          <w:sz w:val="20"/>
          <w:szCs w:val="20"/>
        </w:rPr>
        <w:t xml:space="preserve">The current platform covers the pre-trade compliance workflow: strategy creation, approval, allocation, and cash management. Post-trade compliance — real-time position monitoring, automated breach detection, regulatory reporting — is on the near-term roadmap alongside direct trade execution.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Regulatory standing note: Vektor is a portfolio construction and management platform. Regulatory status, applicable jurisdiction, and permissions relevant to specific use cases are not disclosed in this document. Full details are available to prospective Founding Mandate partners as part of the due diligence process. Enquiries: contact@investpuppy.com.</w:t>
            </w:r>
          </w:p>
        </w:tc>
      </w:tr>
    </w:tbl>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6.  Conclusion</w:t>
      </w:r>
    </w:p>
    <w:p>
      <w:pPr>
        <w:spacing w:after="120" w:before="0"/>
        <w:jc w:val="both"/>
      </w:pPr>
      <w:r>
        <w:rPr>
          <w:rFonts w:ascii="Arial" w:cs="Arial" w:eastAsia="Arial" w:hAnsi="Arial"/>
          <w:i/>
          <w:iCs/>
          <w:color w:val="9A9086"/>
          <w:sz w:val="22"/>
          <w:szCs w:val="22"/>
        </w:rPr>
        <w:t xml:space="preserve">Compliance documentation should be a by-product of correct platform operation — not a separately maintained process.</w:t>
      </w:r>
    </w:p>
    <w:p>
      <w:pPr>
        <w:spacing w:after="120" w:before="0"/>
        <w:jc w:val="both"/>
      </w:pPr>
      <w:r>
        <w:rPr>
          <w:rFonts w:ascii="Arial" w:cs="Arial" w:eastAsia="Arial" w:hAnsi="Arial"/>
          <w:b w:val="false"/>
          <w:bCs w:val="false"/>
          <w:i w:val="false"/>
          <w:iCs w:val="false"/>
          <w:color w:val="1A1A1F"/>
          <w:sz w:val="20"/>
          <w:szCs w:val="20"/>
        </w:rPr>
        <w:t xml:space="preserve">Vektor's three-role accountability architecture and complete action logging produce an institutional-grade audit trail as a natural consequence of using the platform correctly. No additional compliance workflow is required. Every investment decision is documented, every approval is recorded, every cash movement is logged, and the complete chain from research to trade-ready position is retrievable at any point.</w:t>
      </w:r>
    </w:p>
    <w:p>
      <w:pPr>
        <w:spacing w:after="0" w:before="120"/>
      </w:pPr>
      <w:r>
        <w:t xml:space="preserve"/>
      </w:r>
    </w:p>
    <w:p>
      <w:pPr>
        <w:pBdr>
          <w:bottom w:val="single" w:color="D0CCCA" w:sz="4" w:space="2"/>
        </w:pBd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This paper describes the compliance and audit architecture embedded across all eleven steps of the Vektor workflow. For the full platform overview, see the Platform Brochure. For portfolio construction methodology, see WP-01. All documents available at investpuppy.com.</w:t>
            </w:r>
          </w:p>
        </w:tc>
      </w:tr>
    </w:tbl>
    <w:p>
      <w:pPr>
        <w:spacing w:after="0" w:before="60"/>
      </w:pPr>
      <w:r>
        <w:t xml:space="preserve"/>
      </w:r>
    </w:p>
    <w:p>
      <w:r>
        <w:rPr>
          <w:rFonts w:ascii="Courier New" w:cs="Courier New" w:eastAsia="Courier New" w:hAnsi="Courier New"/>
          <w:color w:val="9A9086"/>
          <w:sz w:val="14"/>
          <w:szCs w:val="14"/>
        </w:rPr>
        <w:t xml:space="preserve">investpuppy.com  ·  contact@investpuppy.com  ·  IP-WP-AUD-260501-1.0  ·  Copyright 2026 InvestPuppy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4" w:color="888884"/>
      </w:pBdr>
      <w:tabs>
        <w:tab w:val="right" w:pos="9638"/>
      </w:tabs>
      <w:spacing w:before="0" w:after="0"/>
    </w:pPr>
    <w:r>
      <w:drawing>
        <wp:inline xmlns:a="http://schemas.openxmlformats.org/drawingml/2006/main" xmlns:pic="http://schemas.openxmlformats.org/drawingml/2006/picture">
          <wp:extent cx="1008000" cy="825431"/>
          <wp:docPr id="1" name="Picture 1"/>
          <wp:cNvGraphicFramePr>
            <a:graphicFrameLocks noChangeAspect="1"/>
          </wp:cNvGraphicFramePr>
          <a:graphic>
            <a:graphicData uri="http://schemas.openxmlformats.org/drawingml/2006/picture">
              <pic:pic>
                <pic:nvPicPr>
                  <pic:cNvPr id="0" name="IPHorizontalInvClear.png"/>
                  <pic:cNvPicPr/>
                </pic:nvPicPr>
                <pic:blipFill>
                  <a:blip r:embed="rId1"/>
                  <a:stretch>
                    <a:fillRect/>
                  </a:stretch>
                </pic:blipFill>
                <pic:spPr>
                  <a:xfrm>
                    <a:off x="0" y="0"/>
                    <a:ext cx="1008000" cy="825431"/>
                  </a:xfrm>
                  <a:prstGeom prst="rect"/>
                </pic:spPr>
              </pic:pic>
            </a:graphicData>
          </a:graphic>
        </wp:inline>
      </w:drawing>
    </w:r>
    <w:r>
      <w:tab/>
    </w:r>
    <w:r>
      <w:rPr>
        <w:sz w:val="11"/>
        <w:color w:val="666660"/>
      </w:rPr>
      <w:t>investpuppy.com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F"/>
      <w:sz w:val="40"/>
      <w:szCs w:val="40"/>
    </w:rPr>
  </w:style>
  <w:style w:type="paragraph" w:styleId="Heading2">
    <w:name w:val="Heading 2"/>
    <w:basedOn w:val="Normal"/>
    <w:next w:val="Normal"/>
    <w:qFormat/>
    <w:pPr>
      <w:spacing w:after="80" w:before="200"/>
      <w:outlineLvl w:val="1"/>
    </w:pPr>
    <w:rPr>
      <w:rFonts w:ascii="Arial" w:cs="Arial" w:eastAsia="Arial" w:hAnsi="Arial"/>
      <w:b/>
      <w:bCs/>
      <w:color w:val="1A1A1F"/>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2026-05-05T00:02:05.517Z</dcterms:created>
  <dcterms:modified xsi:type="dcterms:W3CDTF">2026-05-05T00:02:05.517Z</dcterms:modified>
</cp:coreProperties>
</file>

<file path=docProps/custom.xml><?xml version="1.0" encoding="utf-8"?>
<Properties xmlns="http://schemas.openxmlformats.org/officeDocument/2006/custom-properties" xmlns:vt="http://schemas.openxmlformats.org/officeDocument/2006/docPropsVTypes"/>
</file>