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/>
          <w:color w:val="9A9086"/>
          <w:spacing w:val="80"/>
          <w:sz w:val="14"/>
          <w:szCs w:val="14"/>
        </w:rPr>
        <w:t xml:space="preserve">VEKTOR RESEARCH SERIES  ·  2026</w:t>
      </w:r>
    </w:p>
    <w:p>
      <w:pPr>
        <w:pBdr>
          <w:bottom w:val="single" w:color="C8A96E" w:sz="12" w:space="4"/>
        </w:pBdr>
        <w:spacing w:after="120" w:before="6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40"/>
          <w:szCs w:val="40"/>
        </w:rPr>
        <w:t xml:space="preserve">Production Infrastructure:
The Vektor Technical Architecture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AWS services, architectural decisions, and design principles — documented as a record of choices made, not a list of technologies used.</w:t>
      </w:r>
    </w:p>
    <w:p>
      <w:pPr>
        <w:pBdr>
          <w:bottom w:val="single" w:color="D0CCCA" w:sz="4" w:space="2"/>
        </w:pBdr>
        <w:spacing w:after="80" w:before="80"/>
      </w:pP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7"/>
          <w:szCs w:val="17"/>
        </w:rPr>
        <w:t xml:space="preserve">For technical due diligence teams, CTOs, and institutional partners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9A9086"/>
          <w:sz w:val="15"/>
          <w:szCs w:val="15"/>
        </w:rPr>
        <w:t xml:space="preserve">Vektor Research Series  ·  IP-WP-ARCH-260501-1.0  ·  Copyright 2026 InvestPuppy  ·  investpuppy.com</w:t>
      </w:r>
    </w:p>
    <w:p>
      <w:pPr>
        <w:spacing w:after="0" w:before="0"/>
      </w:pPr>
      <w:r>
        <w:br w:type="page"/>
      </w: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ABSTRACT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>Most vendor technical documentation is a list of services used. This paper is a record of decisions made — including the reasoning behind each one and what it would take to change them. This paper documents the Vektor production infrastructure through that lens: the architectural decisions made at the design stage, the reasoning behind each decision, and the properties those decisions produce — modularity, scalability, and the ability to integrate with existing institutional infrastructure. The platform is currently deployed in Singapore (ap-southeast-1) for the initial SGX implementation. The architecture is region-agnostic by design: any AWS region can be configured as the deployment target without architectural change. Where capabilities are on the roadmap rather than live today, this paper says so directly.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4"/>
            <w:tcBorders>
              <w:top w:val="single" w:color="C8A96E" w:sz="8"/>
              <w:left w:val="none"/>
              <w:bottom w:val="none"/>
              <w:right w:val="none"/>
            </w:tcBorders>
            <w:shd w:fill="F4F2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A96E"/>
                <w:spacing w:val="80"/>
                <w:sz w:val="14"/>
                <w:szCs w:val="14"/>
              </w:rPr>
              <w:t xml:space="preserve">KEY TAKEAWAYS</w:t>
            </w:r>
          </w:p>
        </w:tc>
      </w:tr>
      <w:tr>
        <w:tc>
          <w:tcPr>
            <w:tcW w:type="dxa" w:w="9634"/>
            <w:tcBorders>
              <w:top w:val="none"/>
              <w:left w:val="none"/>
              <w:bottom w:val="none"/>
              <w:right w:val="none"/>
            </w:tcBorders>
            <w:shd w:fill="F4F2F0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— 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Vektor runs on AWS using a microservices architecture. The current deployment is in ap-southeast-1 (Singapore). The architecture is region-agnostic — any AWS region can be configured as the deployment target. A client with UK or Hong Kong data residency requirements deploys to a different region.</w:t>
            </w:r>
          </w:p>
        </w:tc>
      </w:tr>
      <w:tr>
        <w:tc>
          <w:tcPr>
            <w:tcW w:type="dxa" w:w="9634"/>
            <w:tcBorders>
              <w:top w:val="none"/>
              <w:left w:val="none"/>
              <w:bottom w:val="none"/>
              <w:right w:val="none"/>
            </w:tcBorders>
            <w:shd w:fill="F4F2F0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— 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SageMaker serves two distinct roles: JupyterLab research environment for universe screening, and a managed XGBoost inference endpoint for signal validation. These are separate concerns, treated separately.</w:t>
            </w:r>
          </w:p>
        </w:tc>
      </w:tr>
      <w:tr>
        <w:tc>
          <w:tcPr>
            <w:tcW w:type="dxa" w:w="9634"/>
            <w:tcBorders>
              <w:top w:val="none"/>
              <w:left w:val="none"/>
              <w:bottom w:val="none"/>
              <w:right w:val="none"/>
            </w:tcBorders>
            <w:shd w:fill="F4F2F0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— 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SQS decouples order generation from execution. A connectivity issue with IBKR does not cascade into the application layer.</w:t>
            </w:r>
          </w:p>
        </w:tc>
      </w:tr>
      <w:tr>
        <w:tc>
          <w:tcPr>
            <w:tcW w:type="dxa" w:w="9634"/>
            <w:tcBorders>
              <w:top w:val="none"/>
              <w:left w:val="none"/>
              <w:bottom w:val="none"/>
              <w:right w:val="none"/>
            </w:tcBorders>
            <w:shd w:fill="F4F2F0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— 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EventBridge + Step Functions provide observable, retryable workflow orchestration — producing an implicit audit trail for every automated operation.</w:t>
            </w:r>
          </w:p>
        </w:tc>
      </w:tr>
      <w:tr>
        <w:tc>
          <w:tcPr>
            <w:tcW w:type="dxa" w:w="9634"/>
            <w:tcBorders>
              <w:top w:val="none"/>
              <w:left w:val="none"/>
              <w:bottom w:val="none"/>
              <w:right w:val="none"/>
            </w:tcBorders>
            <w:shd w:fill="F4F2F0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— 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Cognito with Azure EntraID integration enables SSO for institutional firms running Microsoft 365 — designed in from the first prototype.</w:t>
            </w:r>
          </w:p>
        </w:tc>
      </w:tr>
      <w:tr>
        <w:tc>
          <w:tcPr>
            <w:tcW w:type="dxa" w:w="9634"/>
            <w:tcBorders>
              <w:top w:val="none"/>
              <w:left w:val="none"/>
              <w:bottom w:val="none"/>
              <w:right w:val="none"/>
            </w:tcBorders>
            <w:shd w:fill="F4F2F0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— 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The two-account AWS strategy (shared CI/CD + workload) means deploying to a new region is a CI/CD pipeline configuration, not an architecture change.</w:t>
            </w:r>
          </w:p>
        </w:tc>
      </w:tr>
      <w:tr>
        <w:tc>
          <w:tcPr>
            <w:tcW w:type="dxa" w:w="9634"/>
            <w:tcBorders>
              <w:top w:val="none"/>
              <w:left w:val="none"/>
              <w:bottom w:val="none"/>
              <w:right w:val="none"/>
            </w:tcBorders>
            <w:shd w:fill="F4F2F0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— 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All infrastructure is defined in AWS CloudFormation. Every resource is version-controlled, reproducible, and auditable — no manual console configuration exists in the production path.</w:t>
            </w:r>
          </w:p>
        </w:tc>
      </w:tr>
      <w:tr>
        <w:tc>
          <w:tcPr>
            <w:tcW w:type="dxa" w:w="9634"/>
            <w:tcBorders>
              <w:top w:val="none"/>
              <w:left w:val="none"/>
              <w:bottom w:val="none"/>
              <w:right w:val="none"/>
            </w:tcBorders>
            <w:shd w:fill="F4F2F0" w:val="clear"/>
            <w:tcMar>
              <w:top w:type="dxa" w:w="0"/>
              <w:left w:type="dxa" w:w="160"/>
              <w:bottom w:type="dxa" w:w="60"/>
              <w:right w:type="dxa" w:w="16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— 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8"/>
                <w:szCs w:val="18"/>
              </w:rPr>
              <w:t xml:space="preserve">ECS services run on Fargate Spot capacity, delivering approximately 70% reduction in compute costs versus on-demand pricing.</w:t>
            </w:r>
          </w:p>
        </w:tc>
      </w:tr>
    </w:tbl>
    <w:p>
      <w:pPr>
        <w:spacing w:after="40" w:before="6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9A9086"/>
          <w:sz w:val="15"/>
          <w:szCs w:val="15"/>
        </w:rPr>
        <w:t xml:space="preserve">investpuppy.com  ·  contact@investpuppy.com  ·  IP-WP-ARCH-260501-1.0  ·  Copyright 2026 InvestPuppy</w:t>
      </w:r>
    </w:p>
    <w:p>
      <w:pPr>
        <w:spacing w:after="0" w:before="0"/>
      </w:pPr>
      <w:r>
        <w:br w:type="page"/>
      </w: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1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8"/>
          <w:szCs w:val="28"/>
        </w:rPr>
        <w:t xml:space="preserve">PLATFORM OVERVIEW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What Vektor is built on, and why the infrastructure choices reflect the same design principles as the platform itself.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Vektor is deployed on Amazon Web Services using a microservices architecture. The platform is currently running in ap-southeast-1 (Singapore), chosen as the deployment base for the initial SGX implementation and for alignment with the MAS regulatory context of the founding client base.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Region-agnostic by design. Singapore (ap-southeast-1) is the current deployment region — a configuration choice, not a structural dependency. A client with UK data residency requirements deploys to eu-west-2; Hong Kong to ap-east-1; US to us-east-1 or us-west-2. AWS data residency guarantees follow the region. The two-account CI/CD architecture means deploying to a new region is a pipeline configuration, not an architecture change.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Three design principles were established before the first line of code was written. Modularity: every capability is an independently deployable service. Scalability by default: the infrastructure scales horizontally without architectural changes. Governance before growth: authentication, encryption, deployment pipeline separation, and operational visibility were designed in from the start.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Current deployment status. The architecture described in this document is designed for institutional production. The current deployment is at prototype stage, running in ap-southeast-1 with IBKR connected to a simulation account. Section 9 describes which specific capabilities are live today and which are on the near-term roadmap.</w:t>
      </w:r>
    </w:p>
    <w:p>
      <w:pPr>
        <w:pBdr>
          <w:bottom w:val="single" w:color="D0CCCA" w:sz="4" w:space="2"/>
        </w:pBdr>
        <w:spacing w:after="80" w:before="120"/>
      </w:pP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2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8"/>
          <w:szCs w:val="28"/>
        </w:rPr>
        <w:t xml:space="preserve">ARCHITECTURE DIAGRAM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The complete Vektor AWS stack — nine layers, organised by function.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LAYER</w:t>
            </w:r>
          </w:p>
        </w:tc>
        <w:tc>
          <w:tcPr>
            <w:tcW w:type="dxa" w:w="7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USERS</w:t>
            </w:r>
          </w:p>
        </w:tc>
        <w:tc>
          <w:tcPr>
            <w:tcW w:type="dxa" w:w="7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Stock Analyst  ·  Portfolio Manager  ·  Operations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FRONTEND</w:t>
            </w:r>
          </w:p>
        </w:tc>
        <w:tc>
          <w:tcPr>
            <w:tcW w:type="dxa" w:w="7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React Admin Portal (all three roles)  ·  AWS Amplify hosting + CI/CD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API</w:t>
            </w:r>
          </w:p>
        </w:tc>
        <w:tc>
          <w:tcPr>
            <w:tcW w:type="dxa" w:w="7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AWS API Gateway  ·  Single entry point  ·  Auth enforced  ·  Rate limiting on roadmap  ·  All ECS services exposed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COMPUTE</w:t>
            </w:r>
          </w:p>
        </w:tc>
        <w:tc>
          <w:tcPr>
            <w:tcW w:type="dxa" w:w="7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ECS Microservices (Python / Flask)  ·  ECS Service Connect: sub-100ms inter-service calls  ·  Fargate Spot: ~70% compute cost reduction  ·  SageMaker: JupyterLab Research + XGBoost Endpoint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MESSAGING</w:t>
            </w:r>
          </w:p>
        </w:tc>
        <w:tc>
          <w:tcPr>
            <w:tcW w:type="dxa" w:w="7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SQS: Market order queue  ·  EventBridge: Scheduled triggers  ·  Step Functions: Workflow orchestration  ·  SNS + Lambda router: Operational notifications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DATA</w:t>
            </w:r>
          </w:p>
        </w:tc>
        <w:tc>
          <w:tcPr>
            <w:tcW w:type="dxa" w:w="7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RDS PostgreSQL  ·  Schema separation: market_data / portfolio_data / customer_data  ·  S3: Model artefacts + Backup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EXECUTION</w:t>
            </w:r>
          </w:p>
        </w:tc>
        <w:tc>
          <w:tcPr>
            <w:tcW w:type="dxa" w:w="7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EC2 t3.large: IBKR Gateway + SQS consumer  ·  IBKR API (Simulation → Live)  ·  EC2 t3.medium: Bastion host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AUTH &amp; SECURITY</w:t>
            </w:r>
          </w:p>
        </w:tc>
        <w:tc>
          <w:tcPr>
            <w:tcW w:type="dxa" w:w="7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Cognito + Azure EntraID SSO  ·  KMS encryption at rest  ·  CloudWatch logging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7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AWS ap-southeast-1  ·  CloudFormation IaC  ·  Two-account strategy (Shared CI/CD → Workload)  ·  Dev/prod by stack naming convention</w:t>
            </w:r>
          </w:p>
        </w:tc>
      </w:tr>
    </w:tbl>
    <w:p>
      <w:pPr>
        <w:pBdr>
          <w:bottom w:val="single" w:color="D0CCCA" w:sz="4" w:space="2"/>
        </w:pBdr>
        <w:spacing w:after="80" w:before="200"/>
      </w:pP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3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8"/>
          <w:szCs w:val="28"/>
        </w:rPr>
        <w:t xml:space="preserve">SERVICE INVENTORY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Every AWS service in the Vektor stack with its function and the decision that placed it there.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038"/>
      </w:tblGrid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4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60"/>
                <w:sz w:val="17"/>
                <w:szCs w:val="17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4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60"/>
                <w:sz w:val="17"/>
                <w:szCs w:val="17"/>
              </w:rPr>
              <w:t xml:space="preserve">CATEGORY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4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60"/>
                <w:sz w:val="17"/>
                <w:szCs w:val="17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ECS on Fargate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Compute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Runs all Python/Flask microservices. Fargate removes server management. Fargate Spot reduces compute cost by ~70%.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ECS Service Connect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Compute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Handles inter-service communication via local proxy. Sub-100ms service-to-service calls without additional infrastructure.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API Gateway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API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Single entry point for all frontend requests. Authentication and logging enforced. Rate limiting and WAF on roadmap.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RDS PostgreSQL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Data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Primary datastore. Schema-separated: market_data, portfolio_data, customer_data. Single instance with clear migration path to physical separation.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S3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Storage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Model artefact storage (XGBoost versions). Backup storage. Long-term audit data.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SageMaker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ML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Two roles: JupyterLab environment for research, managed XGBoost inference endpoint for signal validation.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SQS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Messaging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Market order queue between ECS and IBKR Gateway. Decouples order generation from execution. Pre-execution audit trail.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EventBridge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Scheduled triggers for daily data pipelines (8AM SGT price + FX collection).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Step Functions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Workflow orchestration for multi-step pipelines. Per-step logging creates an implicit audit trail.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SNS + Lambda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Fan-out notification architecture. Services publish to SNS; Lambda router delivers to Slack and other channels.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Cognito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Auth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User authentication. Azure EntraID integration for Microsoft 365 SSO — designed in from first prototype.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AWS Amplify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Frontend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React admin portal hosting and CI/CD. Automatic build and deploy on code push.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CloudFormation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All infrastructure defined as code. Version-controlled, reproducible, auditable. No manual console configuration in production path.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CloudWatch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Logging in place. Alerting and dashboards on near-term roadmap.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KMS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Security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Encryption at rest for RDS and S3.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EC2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Execution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t3.large for IBKR Gateway + SQS consumer. t3.medium for bastion host.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4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8"/>
          <w:szCs w:val="28"/>
        </w:rPr>
        <w:t xml:space="preserve">DATA FLOWS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How data moves through the platform from market feeds to funded positions.</w:t>
      </w:r>
    </w:p>
    <w:p>
      <w:pPr>
        <w:spacing w:after="60" w:before="1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8"/>
          <w:szCs w:val="18"/>
        </w:rPr>
        <w:t xml:space="preserve">FLOW 1 — DAILY MARKET DATA PIPELINE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EventBridge → Step Functions → ECS data service (equity prices: OHLCV for all configured instruments, 3-year daily history) → ECS data service (FX rates: all configured currency pairs at 8AM SGT) → RDS storage → SNS → Lambda → Slack notification on completion or failure.</w:t>
      </w:r>
    </w:p>
    <w:p>
      <w:pPr>
        <w:spacing w:after="60" w:before="1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8"/>
          <w:szCs w:val="18"/>
        </w:rPr>
        <w:t xml:space="preserve">FLOW 2 — RESEARCH TO FUNDED POSITIONS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Research phase: SageMaker JupyterLab — universe screening (500+ instruments → target portfolio), efficient frontier optimisation (10,000 portfolio configurations, MPT max-Sharpe selection), technical indicator selection (grid search across six indicators × 3-year history), XGBoost validation (confidence score per signal).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Strategy record: ECS writes approved strategy to RDS — instruments, weights, indicators, Sharpe ratios — pending Portfolio Manager approval.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Strategy approval: PM reviews via Admin Portal → approval record written (PM identity, timestamp, strategy ID). Maker/checker approval workflow with RBAC enforcement planned for next prototype; current implementation allows PM to assign directly.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Client onboarding: PM creates client profile, assigns approved strategy, sets mandate capital.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Allocation: Allocation service fetches live prices, applies lot rounding (99.94% efficiency), calculates position set. PM confirms → audit record written.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Cash funding: Operations records wire transfer (currency, amount, reference). Cash account activated.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Order execution: ECS → SQS queue → EC2 → IBKR Gateway → IBKR API (currently simulation; live before first Founding Mandate client onboards). SNS notification on completion.</w:t>
      </w:r>
    </w:p>
    <w:p>
      <w:pPr>
        <w:pBdr>
          <w:bottom w:val="single" w:color="D0CCCA" w:sz="4" w:space="2"/>
        </w:pBdr>
        <w:spacing w:after="80" w:before="120"/>
      </w:pP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5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8"/>
          <w:szCs w:val="28"/>
        </w:rPr>
        <w:t xml:space="preserve">DECISION LOG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Key architectural decisions with the alternative considered and the reason for the choice made.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4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60"/>
                <w:sz w:val="17"/>
                <w:szCs w:val="17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4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60"/>
                <w:sz w:val="17"/>
                <w:szCs w:val="17"/>
              </w:rPr>
              <w:t xml:space="preserve">ALTERNATIVE CONSIDERED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4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60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ECS Service Connect over standard DNS service discovery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Standard DNS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Sub-100ms inter-service calls without additional infrastructure. Consistent service-to-service communication with built-in load balancing.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Fargate Spot for 80–100% of ECS workloads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On-demand Fargate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~70% compute cost reduction. Acceptable for non-time-critical workloads. Fargate handles interruption recovery automatically.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SQS between ECS and IBKR Gateway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Direct API calls from ECS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Decouples order generation from execution. IBKR connectivity issues do not cascade into application layer. Pre-execution audit trail as SQS side effect.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EventBridge + Step Functions for pipeline orchestration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Lambda cron triggers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Complete workflow audit trail with per-step logging. Retryable at step level. Observable in CloudWatch.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SNS fan-out notification architecture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Direct Lambda notification calls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Services publish to SNS without knowledge of notification targets. Future multi-channel delivery requires no service changes.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SageMaker managed endpoint for XGBoost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Self-hosted inference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Model versioning and rollback independent of application deployment. Promotion requires explicit step, not automatic replacement.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Cognito + Azure EntraID SSO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Username/password auth only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Institutional firms run Microsoft 365. SSO removes credential management overhead. Designed in from first prototype — not retrofitted.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Two-account AWS strategy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Single account dev/prod separation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CodePipeline in shared account deploys cross-account. Deploying to new region is pipeline configuration. Workload accounts can be isolated per client.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CloudFormation for all infrastructure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Manual console configuration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Every resource version-controlled, reproducible, auditable. No configuration drift. Environment rebuild is deterministic.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Single RDS with schema separation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Separate databases per domain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Deliberate simplicity at prototype stage. Clear migration path to physical separation when compliance requirements demand it.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API Gateway as single entry point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Per-service API exposure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Auth and logging enforced at single point today. Rate limiting and WAF added at single point when ready.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ECS Service Connect over App Mesh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AWS App Mesh service mesh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Service Connect requires no additional infrastructure. App Mesh adds operational complexity not justified at current scale.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Fargate over EC2 for ECS tasks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EC2-backed ECS cluster</w:t>
            </w:r>
          </w:p>
        </w:tc>
        <w:tc>
          <w:tcPr>
            <w:tcW w:type="dxa" w:w="4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No server management. Auto-scaling without capacity planning. Higher per-unit cost offset by Fargate Spot savings.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6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8"/>
          <w:szCs w:val="28"/>
        </w:rPr>
        <w:t xml:space="preserve">SECURITY &amp; DATA RESIDENCY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Encryption, authentication, network isolation, and data residency guarantees.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Encryption at rest: AWS KMS for RDS and S3. Encryption in transit: all communications over HTTPS/TLS.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Authentication: Cognito with Azure EntraID SSO. Infrastructure-level RBAC (AWS IAM) planned for next prototype iteration. Current enforcement is at the application layer.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Data residency: Current deployment is ap-southeast-1. AWS data residency guarantees apply per region — data does not leave the configured region under normal operation. Clients with UK, Hong Kong, or US residency requirements deploy to the appropriate AWS region.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Network isolation: VPC with private subnets for compute and data layers. Bastion host for SSH access. API Gateway as the only public entry point.</w:t>
      </w:r>
    </w:p>
    <w:p>
      <w:pPr>
        <w:pBdr>
          <w:bottom w:val="single" w:color="D0CCCA" w:sz="4" w:space="2"/>
        </w:pBdr>
        <w:spacing w:after="80" w:before="120"/>
      </w:pP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7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8"/>
          <w:szCs w:val="28"/>
        </w:rPr>
        <w:t xml:space="preserve">SCALABILITY &amp; REGIONAL DEPLOYMENT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How the architecture scales across users, mandates, and geographies.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Horizontal scaling: ECS services on Fargate scale independently. API Gateway handles traffic distribution. RDS scales vertically and, when required, via read replicas. No architectural changes are required to scale from 5 to 50 client mandates.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Regional deployment: the two-account CI/CD architecture makes adding a deployment region a pipeline configuration task. CodePipeline in the shared account builds Docker images, pushes to ECR, and deploys cross-account. For production client deployments, separate workload accounts per client region are the target architecture.</w:t>
      </w:r>
    </w:p>
    <w:p>
      <w:pPr>
        <w:pBdr>
          <w:bottom w:val="single" w:color="D0CCCA" w:sz="4" w:space="2"/>
        </w:pBdr>
        <w:spacing w:after="80" w:before="120"/>
      </w:pP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8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8"/>
          <w:szCs w:val="28"/>
        </w:rPr>
        <w:t xml:space="preserve">INTEGRATION ARCHITECTURE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How Vektor connects with existing DPM infrastructure.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REST API output: Vektor's allocation service exposes a REST API endpoint that returns a complete allocation table — instrument identifier, target quantity, target value, portfolio weight, and assigned indicator. A standard integration between this endpoint and an existing PMS typically takes two to four weeks for a developer familiar with the target system.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Market data substitution: Yahoo Finance is the current default data source. Bloomberg or any institutional market data feed can be substituted as the data source without architectural changes. This is a Founding Mandate configuration option.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Execution venue: IBKR is the current execution venue via the IBKR Gateway and TWS API. Alternative execution venues using FIX protocol are a roadmap item. The SQS queue architecture means the execution layer is already decoupled from the rest of the application.</w:t>
      </w:r>
    </w:p>
    <w:p>
      <w:pPr>
        <w:pBdr>
          <w:bottom w:val="single" w:color="D0CCCA" w:sz="4" w:space="2"/>
        </w:pBdr>
        <w:spacing w:after="80" w:before="120"/>
      </w:pP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9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8"/>
          <w:szCs w:val="28"/>
        </w:rPr>
        <w:t xml:space="preserve">WHAT IS NOT YET IN SCOPE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Honest current state — capabilities designed but not yet live, each with a defined trigger condition.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4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60"/>
                <w:sz w:val="17"/>
                <w:szCs w:val="17"/>
              </w:rPr>
              <w:t xml:space="preserve">CAPABILITY</w:t>
            </w:r>
          </w:p>
        </w:tc>
        <w:tc>
          <w:tcPr>
            <w:tcW w:type="dxa" w:w="6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4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60"/>
                <w:sz w:val="17"/>
                <w:szCs w:val="17"/>
              </w:rPr>
              <w:t xml:space="preserve">CURRENT STATUS &amp; TRIGGER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Live trade execution</w:t>
            </w:r>
          </w:p>
        </w:tc>
        <w:tc>
          <w:tcPr>
            <w:tcW w:type="dxa" w:w="6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IBKR is connected to a simulation account. Live execution will be activated before the first Founding Mandate client onboards. This is a defined trigger condition, not an open-ended roadmap item.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Infrastructure-level RBAC</w:t>
            </w:r>
          </w:p>
        </w:tc>
        <w:tc>
          <w:tcPr>
            <w:tcW w:type="dxa" w:w="6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Role enforcement is currently at the application layer. Infrastructure-level RBAC via AWS IAM is planned for the next prototype iteration.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Maker/checker approval workflow</w:t>
            </w:r>
          </w:p>
        </w:tc>
        <w:tc>
          <w:tcPr>
            <w:tcW w:type="dxa" w:w="6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Current implementation allows the PM to assign strategies directly. Maker/checker with RBAC enforcement is planned for the next prototype iteration.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API Gateway rate limiting and WAF</w:t>
            </w:r>
          </w:p>
        </w:tc>
        <w:tc>
          <w:tcPr>
            <w:tcW w:type="dxa" w:w="6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Authentication and logging are enforced today. Rate limiting and WAF protection are on the near-term roadmap.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Production observability</w:t>
            </w:r>
          </w:p>
        </w:tc>
        <w:tc>
          <w:tcPr>
            <w:tcW w:type="dxa" w:w="6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CloudWatch logging is in place. Alerting, dashboards, and automated drift detection are on the near-term roadmap.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Production environment promotion</w:t>
            </w:r>
          </w:p>
        </w:tc>
        <w:tc>
          <w:tcPr>
            <w:tcW w:type="dxa" w:w="6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The current deployment is a dev environment. Promotion to a production environment will occur before the first Founding Mandate client onboards.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External PMS integrations</w:t>
            </w:r>
          </w:p>
        </w:tc>
        <w:tc>
          <w:tcPr>
            <w:tcW w:type="dxa" w:w="6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The REST API output is available. Certified integrations with specific PMS platforms are a roadmap item based on Founding Mandate partner requirements.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10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8"/>
          <w:szCs w:val="28"/>
        </w:rPr>
        <w:t xml:space="preserve">CONCLUSION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Architecture as a statement of values.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The choices documented in this paper are not a list of technologies adopted because they were available. They are a record of decisions made against explicit criteria: modularity so that any component can be replaced without disrupting the others; scalability without architectural rework; governance designed in from the start rather than added in response to requirements.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The platform is at prototype stage. The architecture is designed for production. The gap between those two states is implementation and integration work — not architectural change. The Decision Log captures the reasoning behind each major choice so that future development decisions build on the same principles rather than cutting across them.</w:t>
      </w:r>
    </w:p>
    <w:p>
      <w:pPr>
        <w:pBdr>
          <w:bottom w:val="single" w:color="D0CCCA" w:sz="4" w:space="2"/>
        </w:pBdr>
        <w:spacing w:after="80" w:before="200"/>
      </w:pPr>
    </w:p>
    <w:p>
      <w:pPr>
        <w:spacing w:after="6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6"/>
          <w:szCs w:val="16"/>
        </w:rPr>
        <w:t xml:space="preserve">For AI governance and ML model management, see WP-08. For compliance architecture, see WP-06. For risk disclosure, see WP-09. All documents at investpuppy.com.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9A9086"/>
          <w:sz w:val="15"/>
          <w:szCs w:val="15"/>
        </w:rPr>
        <w:t xml:space="preserve">investpuppy.com  ·  contact@investpuppy.com  ·  IP-WP-ARCH-260501-1.0  ·  Copyright 2026 InvestPuppy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888884"/>
      </w:pBdr>
      <w:tabs>
        <w:tab w:val="right" w:pos="9638"/>
      </w:tabs>
      <w:spacing w:before="0" w:after="0"/>
    </w:pPr>
    <w:r>
      <w:drawing>
        <wp:inline xmlns:a="http://schemas.openxmlformats.org/drawingml/2006/main" xmlns:pic="http://schemas.openxmlformats.org/drawingml/2006/picture">
          <wp:extent cx="1008000" cy="8254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PHorizontalInvCle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8000" cy="8254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sz w:val="11"/>
        <w:color w:val="666660"/>
      </w:rPr>
      <w:t>investpuppy.com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Vektor Technical Architecture</dc:title>
  <dc:creator>InvestPuppy</dc:creator>
  <cp:lastModifiedBy>Un-named</cp:lastModifiedBy>
  <cp:revision>1</cp:revision>
  <dcterms:created xsi:type="dcterms:W3CDTF">2026-05-06T02:04:20.434Z</dcterms:created>
  <dcterms:modified xsi:type="dcterms:W3CDTF">2026-05-06T02:04:20.450Z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