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line="276"/>
        <w:jc w:val="left"/>
      </w:pPr>
      <w:r>
        <w:rPr>
          <w:rFonts w:ascii="Arial" w:cs="Arial" w:eastAsia="Arial" w:hAnsi="Arial"/>
          <w:b w:val="false"/>
          <w:bCs w:val="false"/>
          <w:i w:val="false"/>
          <w:iCs w:val="false"/>
          <w:caps/>
          <w:color w:val="9A9086"/>
          <w:spacing w:val="80"/>
          <w:sz w:val="14"/>
          <w:szCs w:val="14"/>
        </w:rPr>
        <w:t xml:space="preserve">VEKTOR RESEARCH SERIES  ·  2026</w:t>
      </w:r>
    </w:p>
    <w:p>
      <w:pPr>
        <w:pBdr>
          <w:bottom w:val="single" w:color="C8A96E" w:sz="12" w:space="4"/>
        </w:pBdr>
        <w:spacing w:after="120" w:before="60"/>
      </w:pPr>
    </w:p>
    <w:p>
      <w:pPr>
        <w:spacing w:after="120" w:before="0" w:line="276"/>
        <w:jc w:val="left"/>
      </w:pPr>
      <w:r>
        <w:rPr>
          <w:rFonts w:ascii="Arial" w:cs="Arial" w:eastAsia="Arial" w:hAnsi="Arial"/>
          <w:b/>
          <w:bCs/>
          <w:i w:val="false"/>
          <w:iCs w:val="false"/>
          <w:caps w:val="false"/>
          <w:color w:val="1A1A1F"/>
          <w:sz w:val="40"/>
          <w:szCs w:val="40"/>
        </w:rPr>
        <w:t xml:space="preserve">AI as Instrument:
Machine Learning in
Systematic Portfolio Management</w:t>
      </w:r>
    </w:p>
    <w:p>
      <w:pPr>
        <w:spacing w:after="200" w:before="0" w:line="276"/>
        <w:jc w:val="left"/>
      </w:pPr>
      <w:r>
        <w:rPr>
          <w:rFonts w:ascii="Arial" w:cs="Arial" w:eastAsia="Arial" w:hAnsi="Arial"/>
          <w:b w:val="false"/>
          <w:bCs w:val="false"/>
          <w:i/>
          <w:iCs/>
          <w:caps w:val="false"/>
          <w:color w:val="9A9086"/>
          <w:sz w:val="20"/>
          <w:szCs w:val="20"/>
        </w:rPr>
        <w:t xml:space="preserve">Where machine learning is used in Vektor, where it is not, why those boundaries exist, and how human judgement is preserved at every gate.</w:t>
      </w:r>
    </w:p>
    <w:p>
      <w:pPr>
        <w:pBdr>
          <w:bottom w:val="single" w:color="D0CCCA" w:sz="4" w:space="2"/>
        </w:pBdr>
        <w:spacing w:after="80" w:before="80"/>
      </w:pPr>
    </w:p>
    <w:p>
      <w:pPr>
        <w:spacing w:after="60" w:before="0" w:line="276"/>
        <w:jc w:val="left"/>
      </w:pPr>
      <w:r>
        <w:rPr>
          <w:rFonts w:ascii="Arial" w:cs="Arial" w:eastAsia="Arial" w:hAnsi="Arial"/>
          <w:b w:val="false"/>
          <w:bCs w:val="false"/>
          <w:i/>
          <w:iCs/>
          <w:caps w:val="false"/>
          <w:color w:val="9A9086"/>
          <w:sz w:val="17"/>
          <w:szCs w:val="17"/>
        </w:rPr>
        <w:t xml:space="preserve">For institutional investors, compliance officers, and risk committees</w:t>
      </w:r>
    </w:p>
    <w:p>
      <w:pPr>
        <w:spacing w:after="60" w:before="0" w:line="276"/>
        <w:jc w:val="left"/>
      </w:pPr>
      <w:r>
        <w:rPr>
          <w:rFonts w:ascii="Arial" w:cs="Arial" w:eastAsia="Arial" w:hAnsi="Arial"/>
          <w:b w:val="false"/>
          <w:bCs w:val="false"/>
          <w:i w:val="false"/>
          <w:iCs w:val="false"/>
          <w:caps w:val="false"/>
          <w:color w:val="9A9086"/>
          <w:sz w:val="15"/>
          <w:szCs w:val="15"/>
        </w:rPr>
        <w:t xml:space="preserve">IP-WP-AIML-260501-1.0  ·  Copyright 2026 InvestPuppy  ·  investpuppy.com</w:t>
      </w:r>
    </w:p>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ABSTRACT</w:t>
      </w:r>
    </w:p>
    <w:p>
      <w:pPr>
        <w:spacing w:after="100" w:before="0" w:line="276"/>
        <w:jc w:val="both"/>
      </w:pPr>
      <w:r>
        <w:rPr>
          <w:rFonts w:ascii="Arial" w:cs="Arial" w:eastAsia="Arial" w:hAnsi="Arial"/>
          <w:b w:val="false"/>
          <w:bCs w:val="false"/>
          <w:i w:val="false"/>
          <w:iCs w:val="false"/>
          <w:caps w:val="false"/>
          <w:color w:val="1A1A1F"/>
          <w:sz w:val="19"/>
          <w:szCs w:val="19"/>
        </w:rPr>
        <w:t xml:space="preserve">The term 'AI-powered' has become a marketing claim so widely applied that it has ceased to carry information. This paper takes the opposite approach: it states precisely where machine learning is used in the Vektor platform, what it does at each point, and where it is explicitly not used. The governing principle is simple: AI in Vektor is an instrument of computation, not a maker of decisions. Every investment decision requires explicit human action. This governance framework is consistent with the AI governance principles published by financial regulators in Singapore (MAS FEAT), Hong Kong (SFC/HKMA), and the United Kingdom (FCA/PRA) — three jurisdictions that have independently converged on the same four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4"/>
            <w:tcBorders>
              <w:top w:val="single" w:color="C8A96E" w:sz="8"/>
              <w:left w:val="none"/>
              <w:bottom w:val="none"/>
              <w:right w:val="none"/>
            </w:tcBorders>
            <w:shd w:fill="F4F2F0" w:val="clear"/>
            <w:tcMar>
              <w:top w:type="dxa" w:w="100"/>
              <w:left w:type="dxa" w:w="160"/>
              <w:bottom w:type="dxa" w:w="60"/>
              <w:right w:type="dxa" w:w="160"/>
            </w:tcMar>
          </w:tcPr>
          <w:p>
            <w:pPr>
              <w:spacing w:after="80" w:before="0"/>
            </w:pPr>
            <w:r>
              <w:rPr>
                <w:rFonts w:ascii="Arial" w:cs="Arial" w:eastAsia="Arial" w:hAnsi="Arial"/>
                <w:b/>
                <w:bCs/>
                <w:i w:val="false"/>
                <w:iCs w:val="false"/>
                <w:caps/>
                <w:color w:val="C8A96E"/>
                <w:spacing w:val="80"/>
                <w:sz w:val="14"/>
                <w:szCs w:val="14"/>
              </w:rPr>
              <w:t xml:space="preserve">KEY TAKEAWAYS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ML is used in two bounded roles: universe screening optimisation and XGBoost signal validation. Neither role makes investment decisions.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XGBoost validates signals — it does not generate, approve, or act on them. A portfolio manager must approve the complete strategy before any position is taken.</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Human approval gates exist at every capital-at-risk stage: strategy approval, allocation execution, and cash funding are explicit human actions that cannot be automated away.</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Every model is trained on explicit historical data, produces an interpretable confidence score, and can be inspected, versioned, and rolled back. No black boxes.</w:t>
            </w:r>
          </w:p>
        </w:tc>
      </w:tr>
      <w:tr>
        <w:tc>
          <w:tcPr>
            <w:tcW w:type="dxa" w:w="9634"/>
            <w:tcBorders>
              <w:top w:val="none"/>
              <w:left w:val="none"/>
              <w:bottom w:val="none"/>
              <w:right w:val="none"/>
            </w:tcBorders>
            <w:shd w:fill="F4F2F0" w:val="clear"/>
            <w:tcMar>
              <w:top w:type="dxa" w:w="0"/>
              <w:left w:type="dxa" w:w="160"/>
              <w:bottom w:type="dxa" w:w="60"/>
              <w:right w:type="dxa" w:w="160"/>
            </w:tcMar>
          </w:tcPr>
          <w:p>
            <w:pPr>
              <w:spacing w:after="80" w:before="0"/>
              <w:jc w:val="both"/>
            </w:pPr>
            <w:r>
              <w:rPr>
                <w:rFonts w:ascii="Arial" w:cs="Arial" w:eastAsia="Arial" w:hAnsi="Arial"/>
                <w:b w:val="false"/>
                <w:bCs w:val="false"/>
                <w:i w:val="false"/>
                <w:iCs w:val="false"/>
                <w:caps w:val="false"/>
                <w:color w:val="1A1A1F"/>
                <w:sz w:val="18"/>
                <w:szCs w:val="18"/>
              </w:rPr>
              <w:t xml:space="preserve">— </w:t>
            </w:r>
            <w:r>
              <w:rPr>
                <w:rFonts w:ascii="Arial" w:cs="Arial" w:eastAsia="Arial" w:hAnsi="Arial"/>
                <w:b w:val="false"/>
                <w:bCs w:val="false"/>
                <w:i w:val="false"/>
                <w:iCs w:val="false"/>
                <w:caps w:val="false"/>
                <w:color w:val="1A1A1F"/>
                <w:sz w:val="18"/>
                <w:szCs w:val="18"/>
              </w:rPr>
              <w:t xml:space="preserve">MAS FEAT (Singapore), SFC/HKMA (Hong Kong), and FCA/PRA (UK) all converge on the same four requirements: explainability, human oversight, accountability, and auditability. Vektor's framework aligns with all four across all three jurisdictions.</w:t>
            </w:r>
          </w:p>
        </w:tc>
      </w:tr>
    </w:tbl>
    <w:p>
      <w:pPr>
        <w:spacing w:after="40" w:before="60" w:line="276"/>
        <w:jc w:val="center"/>
      </w:pPr>
      <w:r>
        <w:rPr>
          <w:rFonts w:ascii="Arial" w:cs="Arial" w:eastAsia="Arial" w:hAnsi="Arial"/>
          <w:b w:val="false"/>
          <w:bCs w:val="false"/>
          <w:i w:val="false"/>
          <w:iCs w:val="false"/>
          <w:caps w:val="false"/>
          <w:color w:val="9A9086"/>
          <w:sz w:val="15"/>
          <w:szCs w:val="15"/>
        </w:rPr>
        <w:t xml:space="preserve">investpuppy.com  ·  contact@investpuppy.com  ·  IP-WP-AIML-260501-1.0  ·  Copyright 2026 InvestPuppy</w:t>
      </w:r>
    </w:p>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1</w:t>
      </w:r>
    </w:p>
    <w:p>
      <w:pPr>
        <w:spacing w:after="80" w:before="0" w:line="276"/>
        <w:jc w:val="left"/>
      </w:pPr>
      <w:r>
        <w:rPr>
          <w:rFonts w:ascii="Arial" w:cs="Arial" w:eastAsia="Arial" w:hAnsi="Arial"/>
          <w:b/>
          <w:bCs/>
          <w:i w:val="false"/>
          <w:iCs w:val="false"/>
          <w:caps w:val="false"/>
          <w:color w:val="1A1A1F"/>
          <w:sz w:val="28"/>
          <w:szCs w:val="28"/>
        </w:rPr>
        <w:t xml:space="preserve">THE GOVERNING PRINCIPLE</w:t>
      </w:r>
    </w:p>
    <w:p>
      <w:pPr>
        <w:spacing w:after="140" w:before="0" w:line="276"/>
        <w:jc w:val="left"/>
      </w:pPr>
      <w:r>
        <w:rPr>
          <w:rFonts w:ascii="Arial" w:cs="Arial" w:eastAsia="Arial" w:hAnsi="Arial"/>
          <w:b w:val="false"/>
          <w:bCs w:val="false"/>
          <w:i/>
          <w:iCs/>
          <w:caps w:val="false"/>
          <w:color w:val="9A9086"/>
          <w:sz w:val="20"/>
          <w:szCs w:val="20"/>
        </w:rPr>
        <w:t xml:space="preserve">One sentence. Every other decision follows from it.</w:t>
      </w:r>
    </w:p>
    <w:p>
      <w:pPr>
        <w:spacing w:after="100" w:before="0" w:line="276"/>
        <w:jc w:val="both"/>
      </w:pPr>
      <w:r>
        <w:rPr>
          <w:rFonts w:ascii="Arial" w:cs="Arial" w:eastAsia="Arial" w:hAnsi="Arial"/>
          <w:b w:val="false"/>
          <w:bCs w:val="false"/>
          <w:i w:val="false"/>
          <w:iCs w:val="false"/>
          <w:caps w:val="false"/>
          <w:color w:val="1A1A1F"/>
          <w:sz w:val="19"/>
          <w:szCs w:val="19"/>
        </w:rPr>
        <w:t xml:space="preserve">AI in Vektor is an instrument of computation. It does not make investment decisions, client decisions, or compliance decisions. Humans make those decisions — every time, at every gate, with full information.</w:t>
      </w:r>
    </w:p>
    <w:p>
      <w:pPr>
        <w:spacing w:after="100" w:before="0" w:line="276"/>
        <w:jc w:val="both"/>
      </w:pPr>
      <w:r>
        <w:rPr>
          <w:rFonts w:ascii="Arial" w:cs="Arial" w:eastAsia="Arial" w:hAnsi="Arial"/>
          <w:b w:val="false"/>
          <w:bCs w:val="false"/>
          <w:i w:val="false"/>
          <w:iCs w:val="false"/>
          <w:caps w:val="false"/>
          <w:color w:val="1A1A1F"/>
          <w:sz w:val="19"/>
          <w:szCs w:val="19"/>
        </w:rPr>
        <w:t xml:space="preserve">This principle was the starting position of the design process, not a response to regulatory pressure. The question asked at the outset: where does machine learning outperform human analysis on a clearly defined, measurable task — and where does human judgement remain essential? The boundary between those two categories is structural. It cannot be toggled in configuration.</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2</w:t>
      </w:r>
    </w:p>
    <w:p>
      <w:pPr>
        <w:spacing w:after="80" w:before="0" w:line="276"/>
        <w:jc w:val="left"/>
      </w:pPr>
      <w:r>
        <w:rPr>
          <w:rFonts w:ascii="Arial" w:cs="Arial" w:eastAsia="Arial" w:hAnsi="Arial"/>
          <w:b/>
          <w:bCs/>
          <w:i w:val="false"/>
          <w:iCs w:val="false"/>
          <w:caps w:val="false"/>
          <w:color w:val="1A1A1F"/>
          <w:sz w:val="28"/>
          <w:szCs w:val="28"/>
        </w:rPr>
        <w:t xml:space="preserve">WHERE MACHINE LEARNING IS USED</w:t>
      </w:r>
    </w:p>
    <w:p>
      <w:pPr>
        <w:spacing w:after="140" w:before="0" w:line="276"/>
        <w:jc w:val="left"/>
      </w:pPr>
      <w:r>
        <w:rPr>
          <w:rFonts w:ascii="Arial" w:cs="Arial" w:eastAsia="Arial" w:hAnsi="Arial"/>
          <w:b w:val="false"/>
          <w:bCs w:val="false"/>
          <w:i/>
          <w:iCs/>
          <w:caps w:val="false"/>
          <w:color w:val="9A9086"/>
          <w:sz w:val="20"/>
          <w:szCs w:val="20"/>
        </w:rPr>
        <w:t xml:space="preserve">Two specific, bounded applications — defined input, defined output, defined role in the workflow.</w:t>
      </w:r>
    </w:p>
    <w:p>
      <w:pPr>
        <w:spacing w:after="60" w:before="180" w:line="276"/>
        <w:jc w:val="left"/>
      </w:pPr>
      <w:r>
        <w:rPr>
          <w:rFonts w:ascii="Arial" w:cs="Arial" w:eastAsia="Arial" w:hAnsi="Arial"/>
          <w:b/>
          <w:bCs/>
          <w:i w:val="false"/>
          <w:iCs w:val="false"/>
          <w:caps w:val="false"/>
          <w:color w:val="C8A96E"/>
          <w:sz w:val="18"/>
          <w:szCs w:val="18"/>
        </w:rPr>
        <w:t xml:space="preserve">APPLICATION 1 — UNIVERSE SCREENING (RESEARCH ENVIRONMENT)</w:t>
      </w:r>
    </w:p>
    <w:p>
      <w:pPr>
        <w:spacing w:after="100" w:before="0" w:line="276"/>
        <w:jc w:val="both"/>
      </w:pPr>
      <w:r>
        <w:rPr>
          <w:rFonts w:ascii="Arial" w:cs="Arial" w:eastAsia="Arial" w:hAnsi="Arial"/>
          <w:b w:val="false"/>
          <w:bCs w:val="false"/>
          <w:i w:val="false"/>
          <w:iCs w:val="false"/>
          <w:caps w:val="false"/>
          <w:color w:val="1A1A1F"/>
          <w:sz w:val="19"/>
          <w:szCs w:val="19"/>
        </w:rPr>
        <w:t xml:space="preserve">Statistical analysis in the SageMaker JupyterLab environment reduces an exchange universe of 500+ instruments to a target portfolio size, applying liquidity, sector, and dividend continuity criteria.</w:t>
      </w:r>
    </w:p>
    <w:p>
      <w:pPr>
        <w:spacing w:after="60" w:before="80" w:line="276"/>
        <w:jc w:val="left"/>
      </w:pPr>
      <w:r>
        <w:rPr>
          <w:rFonts w:ascii="Arial" w:cs="Arial" w:eastAsia="Arial" w:hAnsi="Arial"/>
          <w:b/>
          <w:bCs/>
          <w:i w:val="false"/>
          <w:iCs w:val="false"/>
          <w:caps w:val="false"/>
          <w:color w:val="1A1A1F"/>
          <w:sz w:val="19"/>
          <w:szCs w:val="19"/>
        </w:rPr>
        <w:t xml:space="preserve">What it does: </w:t>
      </w:r>
    </w:p>
    <w:p>
      <w:pPr>
        <w:spacing w:after="100" w:before="0" w:line="276"/>
        <w:jc w:val="both"/>
      </w:pPr>
      <w:r>
        <w:rPr>
          <w:rFonts w:ascii="Arial" w:cs="Arial" w:eastAsia="Arial" w:hAnsi="Arial"/>
          <w:b w:val="false"/>
          <w:bCs w:val="false"/>
          <w:i w:val="false"/>
          <w:iCs w:val="false"/>
          <w:caps w:val="false"/>
          <w:color w:val="1A1A1F"/>
          <w:sz w:val="19"/>
          <w:szCs w:val="19"/>
        </w:rPr>
        <w:t xml:space="preserve">Ranks instruments against explicit screening parameters. Every criterion is stated: minimum average daily volume, sector membership, dividend continuity threshold. The reason any instrument is included or excluded can be stated precisely.</w:t>
      </w:r>
    </w:p>
    <w:p>
      <w:pPr>
        <w:spacing w:after="60" w:before="80" w:line="276"/>
        <w:jc w:val="left"/>
      </w:pPr>
      <w:r>
        <w:rPr>
          <w:rFonts w:ascii="Arial" w:cs="Arial" w:eastAsia="Arial" w:hAnsi="Arial"/>
          <w:b/>
          <w:bCs/>
          <w:i w:val="false"/>
          <w:iCs w:val="false"/>
          <w:caps w:val="false"/>
          <w:color w:val="1A1A1F"/>
          <w:sz w:val="19"/>
          <w:szCs w:val="19"/>
        </w:rPr>
        <w:t xml:space="preserve">What it does not do: </w:t>
      </w:r>
    </w:p>
    <w:p>
      <w:pPr>
        <w:spacing w:after="100" w:before="0" w:line="276"/>
        <w:jc w:val="both"/>
      </w:pPr>
      <w:r>
        <w:rPr>
          <w:rFonts w:ascii="Arial" w:cs="Arial" w:eastAsia="Arial" w:hAnsi="Arial"/>
          <w:b w:val="false"/>
          <w:bCs w:val="false"/>
          <w:i w:val="false"/>
          <w:iCs w:val="false"/>
          <w:caps w:val="false"/>
          <w:color w:val="1A1A1F"/>
          <w:sz w:val="19"/>
          <w:szCs w:val="19"/>
        </w:rPr>
        <w:t xml:space="preserve">It does not select the final portfolio. The screened universe is the input to portfolio optimisation — a human analyst reviews the screening output before the optimisation runs.</w:t>
      </w:r>
    </w:p>
    <w:p>
      <w:pPr>
        <w:spacing w:after="60" w:before="180" w:line="276"/>
        <w:jc w:val="left"/>
      </w:pPr>
      <w:r>
        <w:rPr>
          <w:rFonts w:ascii="Arial" w:cs="Arial" w:eastAsia="Arial" w:hAnsi="Arial"/>
          <w:b/>
          <w:bCs/>
          <w:i w:val="false"/>
          <w:iCs w:val="false"/>
          <w:caps w:val="false"/>
          <w:color w:val="C8A96E"/>
          <w:sz w:val="18"/>
          <w:szCs w:val="18"/>
        </w:rPr>
        <w:t xml:space="preserve">APPLICATION 2 — XGBOOST SIGNAL VALIDATION (PRODUCTION INFERENCE)</w:t>
      </w:r>
    </w:p>
    <w:p>
      <w:pPr>
        <w:spacing w:after="100" w:before="0" w:line="276"/>
        <w:jc w:val="both"/>
      </w:pPr>
      <w:r>
        <w:rPr>
          <w:rFonts w:ascii="Arial" w:cs="Arial" w:eastAsia="Arial" w:hAnsi="Arial"/>
          <w:b w:val="false"/>
          <w:bCs w:val="false"/>
          <w:i w:val="false"/>
          <w:iCs w:val="false"/>
          <w:caps w:val="false"/>
          <w:color w:val="1A1A1F"/>
          <w:sz w:val="19"/>
          <w:szCs w:val="19"/>
        </w:rPr>
        <w:t xml:space="preserve">The XGBoost classification model validates live trading signals before they are presented to the portfolio manager for approval.</w:t>
      </w:r>
    </w:p>
    <w:p>
      <w:pPr>
        <w:spacing w:after="60" w:before="80" w:line="276"/>
        <w:jc w:val="left"/>
      </w:pPr>
      <w:r>
        <w:rPr>
          <w:rFonts w:ascii="Arial" w:cs="Arial" w:eastAsia="Arial" w:hAnsi="Arial"/>
          <w:b/>
          <w:bCs/>
          <w:i w:val="false"/>
          <w:iCs w:val="false"/>
          <w:caps w:val="false"/>
          <w:color w:val="1A1A1F"/>
          <w:sz w:val="19"/>
          <w:szCs w:val="19"/>
        </w:rPr>
        <w:t xml:space="preserve">Training data: </w:t>
      </w:r>
      <w:r>
        <w:rPr>
          <w:rFonts w:ascii="Arial" w:cs="Arial" w:eastAsia="Arial" w:hAnsi="Arial"/>
          <w:b w:val="false"/>
          <w:bCs w:val="false"/>
          <w:i w:val="false"/>
          <w:iCs w:val="false"/>
          <w:caps w:val="false"/>
          <w:color w:val="1A1A1F"/>
          <w:sz w:val="19"/>
          <w:szCs w:val="19"/>
        </w:rPr>
        <w:t xml:space="preserve">Three years of daily OHLCV price history and historical signal outcomes.</w:t>
      </w:r>
    </w:p>
    <w:p>
      <w:pPr>
        <w:spacing w:after="60" w:before="80" w:line="276"/>
        <w:jc w:val="left"/>
      </w:pPr>
      <w:r>
        <w:rPr>
          <w:rFonts w:ascii="Arial" w:cs="Arial" w:eastAsia="Arial" w:hAnsi="Arial"/>
          <w:b/>
          <w:bCs/>
          <w:i w:val="false"/>
          <w:iCs w:val="false"/>
          <w:caps w:val="false"/>
          <w:color w:val="1A1A1F"/>
          <w:sz w:val="19"/>
          <w:szCs w:val="19"/>
        </w:rPr>
        <w:t xml:space="preserve">What it does: </w:t>
      </w:r>
    </w:p>
    <w:p>
      <w:pPr>
        <w:spacing w:after="100" w:before="0" w:line="276"/>
        <w:jc w:val="both"/>
      </w:pPr>
      <w:r>
        <w:rPr>
          <w:rFonts w:ascii="Arial" w:cs="Arial" w:eastAsia="Arial" w:hAnsi="Arial"/>
          <w:b w:val="false"/>
          <w:bCs w:val="false"/>
          <w:i w:val="false"/>
          <w:iCs w:val="false"/>
          <w:caps w:val="false"/>
          <w:color w:val="1A1A1F"/>
          <w:sz w:val="19"/>
          <w:szCs w:val="19"/>
        </w:rPr>
        <w:t xml:space="preserve">Outputs a confidence score per signal. Signals below the configured threshold are flagged and filtered from the strategy record before PM review.</w:t>
      </w:r>
    </w:p>
    <w:p>
      <w:pPr>
        <w:spacing w:after="60" w:before="80" w:line="276"/>
        <w:jc w:val="left"/>
      </w:pPr>
      <w:r>
        <w:rPr>
          <w:rFonts w:ascii="Arial" w:cs="Arial" w:eastAsia="Arial" w:hAnsi="Arial"/>
          <w:b/>
          <w:bCs/>
          <w:i w:val="false"/>
          <w:iCs w:val="false"/>
          <w:caps w:val="false"/>
          <w:color w:val="1A1A1F"/>
          <w:sz w:val="19"/>
          <w:szCs w:val="19"/>
        </w:rPr>
        <w:t xml:space="preserve">What it does not do: </w:t>
      </w:r>
    </w:p>
    <w:p>
      <w:pPr>
        <w:spacing w:after="100" w:before="0" w:line="276"/>
        <w:jc w:val="both"/>
      </w:pPr>
      <w:r>
        <w:rPr>
          <w:rFonts w:ascii="Arial" w:cs="Arial" w:eastAsia="Arial" w:hAnsi="Arial"/>
          <w:b w:val="false"/>
          <w:bCs w:val="false"/>
          <w:i w:val="false"/>
          <w:iCs w:val="false"/>
          <w:caps w:val="false"/>
          <w:color w:val="1A1A1F"/>
          <w:sz w:val="19"/>
          <w:szCs w:val="19"/>
        </w:rPr>
        <w:t xml:space="preserve">It does not approve strategies, execute trades, assign clients, or make any capital-affecting decision. Its output is one input to the PM review.</w:t>
      </w:r>
    </w:p>
    <w:p>
      <w:pPr>
        <w:spacing w:after="60" w:before="180" w:line="276"/>
        <w:jc w:val="left"/>
      </w:pPr>
      <w:r>
        <w:rPr>
          <w:rFonts w:ascii="Arial" w:cs="Arial" w:eastAsia="Arial" w:hAnsi="Arial"/>
          <w:b/>
          <w:bCs/>
          <w:i w:val="false"/>
          <w:iCs w:val="false"/>
          <w:caps w:val="false"/>
          <w:color w:val="C8A96E"/>
          <w:sz w:val="18"/>
          <w:szCs w:val="18"/>
        </w:rPr>
        <w:t xml:space="preserve">MODEL MANAGEMENT</w:t>
      </w:r>
    </w:p>
    <w:p>
      <w:pPr>
        <w:spacing w:after="100" w:before="0" w:line="276"/>
        <w:jc w:val="both"/>
      </w:pPr>
      <w:r>
        <w:rPr>
          <w:rFonts w:ascii="Arial" w:cs="Arial" w:eastAsia="Arial" w:hAnsi="Arial"/>
          <w:b w:val="false"/>
          <w:bCs w:val="false"/>
          <w:i w:val="false"/>
          <w:iCs w:val="false"/>
          <w:caps w:val="false"/>
          <w:color w:val="1A1A1F"/>
          <w:sz w:val="19"/>
          <w:szCs w:val="19"/>
        </w:rPr>
        <w:t xml:space="preserve">Trained, versioned, and deployed via SageMaker. Each version stored as an artefact in S3. Deployment requires an explicit promotion step — not automatic replacement. Rollback is a single operation. Confidence threshold is a configurable, visible parameter.</w:t>
      </w:r>
    </w:p>
    <w:p>
      <w:pPr>
        <w:pBdr>
          <w:bottom w:val="single" w:color="D0CCCA" w:sz="4" w:space="2"/>
        </w:pBdr>
        <w:spacing w:after="80" w:before="120"/>
      </w:pPr>
    </w:p>
    <w:p>
      <w:pPr>
        <w:spacing w:after="40" w:before="280" w:line="276"/>
        <w:jc w:val="left"/>
      </w:pPr>
      <w:r>
        <w:rPr>
          <w:rFonts w:ascii="Arial" w:cs="Arial" w:eastAsia="Arial" w:hAnsi="Arial"/>
          <w:b/>
          <w:bCs/>
          <w:i w:val="false"/>
          <w:iCs w:val="false"/>
          <w:caps/>
          <w:color w:val="C8A96E"/>
          <w:spacing w:val="80"/>
          <w:sz w:val="14"/>
          <w:szCs w:val="14"/>
        </w:rPr>
        <w:t xml:space="preserve">3</w:t>
      </w:r>
    </w:p>
    <w:p>
      <w:pPr>
        <w:spacing w:after="80" w:before="0" w:line="276"/>
        <w:jc w:val="left"/>
      </w:pPr>
      <w:r>
        <w:rPr>
          <w:rFonts w:ascii="Arial" w:cs="Arial" w:eastAsia="Arial" w:hAnsi="Arial"/>
          <w:b/>
          <w:bCs/>
          <w:i w:val="false"/>
          <w:iCs w:val="false"/>
          <w:caps w:val="false"/>
          <w:color w:val="1A1A1F"/>
          <w:sz w:val="28"/>
          <w:szCs w:val="28"/>
        </w:rPr>
        <w:t xml:space="preserve">WHERE MACHINE LEARNING IS NOT USED</w:t>
      </w:r>
    </w:p>
    <w:p>
      <w:pPr>
        <w:spacing w:after="140" w:before="0" w:line="276"/>
        <w:jc w:val="left"/>
      </w:pPr>
      <w:r>
        <w:rPr>
          <w:rFonts w:ascii="Arial" w:cs="Arial" w:eastAsia="Arial" w:hAnsi="Arial"/>
          <w:b w:val="false"/>
          <w:bCs w:val="false"/>
          <w:i/>
          <w:iCs/>
          <w:caps w:val="false"/>
          <w:color w:val="9A9086"/>
          <w:sz w:val="20"/>
          <w:szCs w:val="20"/>
        </w:rPr>
        <w:t xml:space="preserve">Explicit exclusions — and the reasons behind each one.</w:t>
      </w:r>
    </w:p>
    <w:p>
      <w:pPr>
        <w:spacing w:after="100" w:before="0" w:line="276"/>
        <w:jc w:val="both"/>
      </w:pPr>
      <w:r>
        <w:rPr>
          <w:rFonts w:ascii="Arial" w:cs="Arial" w:eastAsia="Arial" w:hAnsi="Arial"/>
          <w:b w:val="false"/>
          <w:bCs w:val="false"/>
          <w:i w:val="false"/>
          <w:iCs w:val="false"/>
          <w:caps w:val="false"/>
          <w:color w:val="1A1A1F"/>
          <w:sz w:val="19"/>
          <w:szCs w:val="19"/>
        </w:rPr>
        <w:t xml:space="preserve">The following exclusions are design decisions that will not change as the platform develops.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NOT USED FOR</w:t>
            </w:r>
          </w:p>
        </w:tc>
        <w:tc>
          <w:tcPr>
            <w:tcW w:type="dxa" w:w="7038"/>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REASON</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Investment decisions</w:t>
            </w:r>
          </w:p>
        </w:tc>
        <w:tc>
          <w:tcPr>
            <w:tcW w:type="dxa" w:w="70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No model approves, rejects, or modifies a strategy. The portfolio manager approves the complete strategy before any client assignment. This approval is a human action, recorded with timestamp and user identity.</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Portfolio weight determination</w:t>
            </w:r>
          </w:p>
        </w:tc>
        <w:tc>
          <w:tcPr>
            <w:tcW w:type="dxa" w:w="70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Weights are produced by portfolio configuration sampling and efficient frontier optimisation via Modern Portfolio Theory — mathematical processes, not ML models. The max-Sharpe allocation is deterministic: same inputs, same output, explainable step by step.</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Client suitability</w:t>
            </w:r>
          </w:p>
        </w:tc>
        <w:tc>
          <w:tcPr>
            <w:tcW w:type="dxa" w:w="70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Risk profiles are set and reviewed by portfolio managers. No model assesses whether a client is suitable for a given strategy.</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Compliance sign-off</w:t>
            </w:r>
          </w:p>
        </w:tc>
        <w:tc>
          <w:tcPr>
            <w:tcW w:type="dxa" w:w="70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Every audit trail gate — strategy approval, cash funding, allocation execution — requires human action. These gates cannot be automated.</w:t>
            </w:r>
          </w:p>
        </w:tc>
      </w:tr>
      <w:tr>
        <w:tc>
          <w:tcPr>
            <w:tcW w:type="dxa" w:w="2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Instrument selection</w:t>
            </w:r>
          </w:p>
        </w:tc>
        <w:tc>
          <w:tcPr>
            <w:tcW w:type="dxa" w:w="70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Final instrument selection is a human decision made by the Stock Analyst from the screened universe. Screening reduces the universe; it does not select the portfolio.</w:t>
            </w:r>
          </w:p>
        </w:tc>
      </w:tr>
    </w:tbl>
    <w:p>
      <w:pPr>
        <w:spacing w:after="0" w:before="0"/>
      </w:pPr>
      <w:r>
        <w:br w:type="page"/>
      </w:r>
    </w:p>
    <w:p>
      <w:pPr>
        <w:spacing w:after="40" w:before="280" w:line="276"/>
        <w:jc w:val="left"/>
      </w:pPr>
      <w:r>
        <w:rPr>
          <w:rFonts w:ascii="Arial" w:cs="Arial" w:eastAsia="Arial" w:hAnsi="Arial"/>
          <w:b/>
          <w:bCs/>
          <w:i w:val="false"/>
          <w:iCs w:val="false"/>
          <w:caps/>
          <w:color w:val="C8A96E"/>
          <w:spacing w:val="80"/>
          <w:sz w:val="14"/>
          <w:szCs w:val="14"/>
        </w:rPr>
        <w:t xml:space="preserve">4</w:t>
      </w:r>
    </w:p>
    <w:p>
      <w:pPr>
        <w:spacing w:after="80" w:before="0" w:line="276"/>
        <w:jc w:val="left"/>
      </w:pPr>
      <w:r>
        <w:rPr>
          <w:rFonts w:ascii="Arial" w:cs="Arial" w:eastAsia="Arial" w:hAnsi="Arial"/>
          <w:b/>
          <w:bCs/>
          <w:i w:val="false"/>
          <w:iCs w:val="false"/>
          <w:caps w:val="false"/>
          <w:color w:val="1A1A1F"/>
          <w:sz w:val="28"/>
          <w:szCs w:val="28"/>
        </w:rPr>
        <w:t xml:space="preserve">HUMAN APPROVAL GATES</w:t>
      </w:r>
    </w:p>
    <w:p>
      <w:pPr>
        <w:spacing w:after="140" w:before="0" w:line="276"/>
        <w:jc w:val="left"/>
      </w:pPr>
      <w:r>
        <w:rPr>
          <w:rFonts w:ascii="Arial" w:cs="Arial" w:eastAsia="Arial" w:hAnsi="Arial"/>
          <w:b w:val="false"/>
          <w:bCs w:val="false"/>
          <w:i/>
          <w:iCs/>
          <w:caps w:val="false"/>
          <w:color w:val="9A9086"/>
          <w:sz w:val="20"/>
          <w:szCs w:val="20"/>
        </w:rPr>
        <w:t xml:space="preserve">Every point in the workflow where human action is required before capital can move.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c>
          <w:tcPr>
            <w:tcW w:type="dxa" w:w="24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GATE</w:t>
            </w:r>
          </w:p>
        </w:tc>
        <w:tc>
          <w:tcPr>
            <w:tcW w:type="dxa" w:w="20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ROLE</w:t>
            </w:r>
          </w:p>
        </w:tc>
        <w:tc>
          <w:tcPr>
            <w:tcW w:type="dxa" w:w="5238"/>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REQUIREMENT</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Strategy approval</w:t>
            </w:r>
          </w:p>
        </w:tc>
        <w:tc>
          <w:tcPr>
            <w:tcW w:type="dxa" w:w="2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Portfolio Manager</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PM reviews all instruments, weights, indicators, and XGBoost validation results. Explicit approval action required.</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Client assignment</w:t>
            </w:r>
          </w:p>
        </w:tc>
        <w:tc>
          <w:tcPr>
            <w:tcW w:type="dxa" w:w="2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Portfolio Manager</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PM creates client profile and assigns the approved strategy. Separate action from strategy approval.</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Allocation execution</w:t>
            </w:r>
          </w:p>
        </w:tc>
        <w:tc>
          <w:tcPr>
            <w:tcW w:type="dxa" w:w="2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Portfolio Manager</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PM reviews full breakdown (symbols, quantities, prices, efficiency) and confirms. Cannot proceed without explicit PM confirmation.</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Cash funding</w:t>
            </w:r>
          </w:p>
        </w:tc>
        <w:tc>
          <w:tcPr>
            <w:tcW w:type="dxa" w:w="2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Operations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Operations records wire transfer with currency, amount, and reference. Structurally separated from the investment decision chain.</w:t>
            </w:r>
          </w:p>
        </w:tc>
      </w:tr>
      <w:tr>
        <w:tc>
          <w:tcPr>
            <w:tcW w:type="dxa" w:w="24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Market order submission</w:t>
            </w:r>
          </w:p>
        </w:tc>
        <w:tc>
          <w:tcPr>
            <w:tcW w:type="dxa" w:w="20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System (post-approval)</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SQS delivers orders to IBKR Gateway only after strategy approval and cash funding are complete. Executes only positions a human PM has already approved.</w:t>
            </w:r>
          </w:p>
        </w:tc>
      </w:tr>
    </w:tbl>
    <w:p>
      <w:pPr>
        <w:pBdr>
          <w:bottom w:val="single" w:color="D0CCCA" w:sz="4" w:space="2"/>
        </w:pBdr>
        <w:spacing w:after="80" w:before="200"/>
      </w:pPr>
    </w:p>
    <w:p>
      <w:pPr>
        <w:spacing w:after="40" w:before="280" w:line="276"/>
        <w:jc w:val="left"/>
      </w:pPr>
      <w:r>
        <w:rPr>
          <w:rFonts w:ascii="Arial" w:cs="Arial" w:eastAsia="Arial" w:hAnsi="Arial"/>
          <w:b/>
          <w:bCs/>
          <w:i w:val="false"/>
          <w:iCs w:val="false"/>
          <w:caps/>
          <w:color w:val="C8A96E"/>
          <w:spacing w:val="80"/>
          <w:sz w:val="14"/>
          <w:szCs w:val="14"/>
        </w:rPr>
        <w:t xml:space="preserve">5</w:t>
      </w:r>
    </w:p>
    <w:p>
      <w:pPr>
        <w:spacing w:after="80" w:before="0" w:line="276"/>
        <w:jc w:val="left"/>
      </w:pPr>
      <w:r>
        <w:rPr>
          <w:rFonts w:ascii="Arial" w:cs="Arial" w:eastAsia="Arial" w:hAnsi="Arial"/>
          <w:b/>
          <w:bCs/>
          <w:i w:val="false"/>
          <w:iCs w:val="false"/>
          <w:caps w:val="false"/>
          <w:color w:val="1A1A1F"/>
          <w:sz w:val="28"/>
          <w:szCs w:val="28"/>
        </w:rPr>
        <w:t xml:space="preserve">REGULATORY ALIGNMENT</w:t>
      </w:r>
    </w:p>
    <w:p>
      <w:pPr>
        <w:spacing w:after="140" w:before="0" w:line="276"/>
        <w:jc w:val="left"/>
      </w:pPr>
      <w:r>
        <w:rPr>
          <w:rFonts w:ascii="Arial" w:cs="Arial" w:eastAsia="Arial" w:hAnsi="Arial"/>
          <w:b w:val="false"/>
          <w:bCs w:val="false"/>
          <w:i/>
          <w:iCs/>
          <w:caps w:val="false"/>
          <w:color w:val="9A9086"/>
          <w:sz w:val="20"/>
          <w:szCs w:val="20"/>
        </w:rPr>
        <w:t xml:space="preserve">How the Vektor framework maps to published AI governance guidance across three jurisdictions.</w:t>
      </w:r>
    </w:p>
    <w:p>
      <w:pPr>
        <w:spacing w:after="100" w:before="0" w:line="276"/>
        <w:jc w:val="both"/>
      </w:pPr>
      <w:r>
        <w:rPr>
          <w:rFonts w:ascii="Arial" w:cs="Arial" w:eastAsia="Arial" w:hAnsi="Arial"/>
          <w:b w:val="false"/>
          <w:bCs w:val="false"/>
          <w:i w:val="false"/>
          <w:iCs w:val="false"/>
          <w:caps w:val="false"/>
          <w:color w:val="1A1A1F"/>
          <w:sz w:val="19"/>
          <w:szCs w:val="19"/>
        </w:rPr>
        <w:t xml:space="preserve">Three financial regulators — MAS (Singapore), SFC/HKMA (Hong Kong), and FCA/PRA (United Kingdom) — have independently published guidance on responsible AI use in financial services. All three converge on the same four requirements: (1) explainability of AI outputs, (2) human oversight at decision points, (3) clear accountability for AI-assisted decisions, and (4) the ability to audit and review AI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38"/>
      </w:tblGrid>
      <w:tr>
        <w:tc>
          <w:tcPr>
            <w:tcW w:type="dxa" w:w="16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REQUIREMENT</w:t>
            </w:r>
          </w:p>
        </w:tc>
        <w:tc>
          <w:tcPr>
            <w:tcW w:type="dxa" w:w="2800"/>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REGULATORY BASIS</w:t>
            </w:r>
          </w:p>
        </w:tc>
        <w:tc>
          <w:tcPr>
            <w:tcW w:type="dxa" w:w="5238"/>
            <w:tcBorders>
              <w:top w:val="single" w:color="DDDDDD" w:sz="2"/>
              <w:left w:val="single" w:color="DDDDDD" w:sz="2"/>
              <w:bottom w:val="single" w:color="DDDDDD" w:sz="2"/>
              <w:right w:val="single" w:color="DDDDDD" w:sz="2"/>
            </w:tcBorders>
            <w:shd w:fill="E8E4E0"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5A5A60"/>
                <w:sz w:val="17"/>
                <w:szCs w:val="17"/>
              </w:rPr>
              <w:t xml:space="preserve">VEKTOR ALIGNMENT</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Explainability</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9A9086"/>
                <w:sz w:val="17"/>
                <w:szCs w:val="17"/>
              </w:rPr>
              <w:t xml:space="preserve">Regulatory requirement: AI outputs must be explainable and interpretable.</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The XGBoost model produces a confidence score and pass/fail for each signal — stored in the strategy record and visible to the PM. Training data window, feature set, and threshold are documented.</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Human oversight</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9A9086"/>
                <w:sz w:val="17"/>
                <w:szCs w:val="17"/>
              </w:rPr>
              <w:t xml:space="preserve">Regulatory requirement: Human oversight must be maintained at AI-influenced decision points.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Human approval gates exist at every capital-at-risk stage. The XGBoost output is an input to the PM review, not a substitute for it.</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Accountability</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9A9086"/>
                <w:sz w:val="17"/>
                <w:szCs w:val="17"/>
              </w:rPr>
              <w:t xml:space="preserve">Regulatory requirement: Clear responsibility must exist for AI-assisted decisions.</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Every AI output is attributable to a specific model version and inference request. Every investment decision is attributable to a specific human in the audit log.</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bCs/>
                <w:i w:val="false"/>
                <w:iCs w:val="false"/>
                <w:caps w:val="false"/>
                <w:color w:val="1A1A1F"/>
                <w:sz w:val="17"/>
                <w:szCs w:val="17"/>
              </w:rPr>
              <w:t xml:space="preserve">Auditability</w:t>
            </w:r>
          </w:p>
        </w:tc>
        <w:tc>
          <w:tcPr>
            <w:tcW w:type="dxa" w:w="2800"/>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9A9086"/>
                <w:sz w:val="17"/>
                <w:szCs w:val="17"/>
              </w:rPr>
              <w:t xml:space="preserve">Regulatory requirement: AI behaviour must be auditable and reviewable.</w:t>
            </w:r>
          </w:p>
        </w:tc>
        <w:tc>
          <w:tcPr>
            <w:tcW w:type="dxa" w:w="5238"/>
            <w:tcBorders>
              <w:top w:val="single" w:color="DDDDDD" w:sz="2"/>
              <w:left w:val="single" w:color="DDDDDD" w:sz="2"/>
              <w:bottom w:val="single" w:color="DDDDDD" w:sz="2"/>
              <w:right w:val="single" w:color="DDDDDD" w:sz="2"/>
            </w:tcBorders>
            <w:shd w:fill="FFFFFF" w:val="clear"/>
            <w:tcMar>
              <w:top w:type="dxa" w:w="80"/>
              <w:left w:type="dxa" w:w="100"/>
              <w:bottom w:type="dxa" w:w="80"/>
              <w:right w:type="dxa" w:w="100"/>
            </w:tcMar>
            <w:vAlign w:val="top"/>
          </w:tcPr>
          <w:p>
            <w:pPr>
              <w:spacing w:after="40" w:before="0"/>
              <w:jc w:val="both"/>
            </w:pPr>
            <w:r>
              <w:rPr>
                <w:rFonts w:ascii="Arial" w:cs="Arial" w:eastAsia="Arial" w:hAnsi="Arial"/>
                <w:b w:val="false"/>
                <w:bCs w:val="false"/>
                <w:i w:val="false"/>
                <w:iCs w:val="false"/>
                <w:caps w:val="false"/>
                <w:color w:val="1A1A1F"/>
                <w:sz w:val="17"/>
                <w:szCs w:val="17"/>
              </w:rPr>
              <w:t xml:space="preserve">Every model call, signal validation result, strategy approval, and allocation is logged with timestamp and identity.</w:t>
            </w:r>
          </w:p>
        </w:tc>
      </w:tr>
    </w:tbl>
    <w:p>
      <w:pPr>
        <w:pBdr>
          <w:bottom w:val="single" w:color="D0CCCA" w:sz="4" w:space="2"/>
        </w:pBdr>
        <w:spacing w:after="80" w:before="200"/>
      </w:pPr>
    </w:p>
    <w:p>
      <w:pPr>
        <w:spacing w:after="40" w:before="280" w:line="276"/>
        <w:jc w:val="left"/>
      </w:pPr>
      <w:r>
        <w:rPr>
          <w:rFonts w:ascii="Arial" w:cs="Arial" w:eastAsia="Arial" w:hAnsi="Arial"/>
          <w:b/>
          <w:bCs/>
          <w:i w:val="false"/>
          <w:iCs w:val="false"/>
          <w:caps/>
          <w:color w:val="C8A96E"/>
          <w:spacing w:val="80"/>
          <w:sz w:val="14"/>
          <w:szCs w:val="14"/>
        </w:rPr>
        <w:t xml:space="preserve">6</w:t>
      </w:r>
    </w:p>
    <w:p>
      <w:pPr>
        <w:spacing w:after="80" w:before="0" w:line="276"/>
        <w:jc w:val="left"/>
      </w:pPr>
      <w:r>
        <w:rPr>
          <w:rFonts w:ascii="Arial" w:cs="Arial" w:eastAsia="Arial" w:hAnsi="Arial"/>
          <w:b/>
          <w:bCs/>
          <w:i w:val="false"/>
          <w:iCs w:val="false"/>
          <w:caps w:val="false"/>
          <w:color w:val="1A1A1F"/>
          <w:sz w:val="28"/>
          <w:szCs w:val="28"/>
        </w:rPr>
        <w:t xml:space="preserve">CONCLUSION</w:t>
      </w:r>
    </w:p>
    <w:p>
      <w:pPr>
        <w:spacing w:after="100" w:before="0" w:line="276"/>
        <w:jc w:val="both"/>
      </w:pPr>
      <w:r>
        <w:rPr>
          <w:rFonts w:ascii="Arial" w:cs="Arial" w:eastAsia="Arial" w:hAnsi="Arial"/>
          <w:b w:val="false"/>
          <w:bCs w:val="false"/>
          <w:i w:val="false"/>
          <w:iCs w:val="false"/>
          <w:caps w:val="false"/>
          <w:color w:val="1A1A1F"/>
          <w:sz w:val="19"/>
          <w:szCs w:val="19"/>
        </w:rPr>
        <w:t xml:space="preserve">AI is used in Vektor where it outperforms human analysis on a well-defined, measurable task. It is not used where the decision carries accountability and requires contextual judgement. This boundary is structural — enforced by the platform's workflow architecture, not by a policy that could be overridden.</w:t>
      </w:r>
    </w:p>
    <w:p>
      <w:pPr>
        <w:spacing w:after="100" w:before="0" w:line="276"/>
        <w:jc w:val="both"/>
      </w:pPr>
      <w:r>
        <w:rPr>
          <w:rFonts w:ascii="Arial" w:cs="Arial" w:eastAsia="Arial" w:hAnsi="Arial"/>
          <w:b w:val="false"/>
          <w:bCs w:val="false"/>
          <w:i w:val="false"/>
          <w:iCs w:val="false"/>
          <w:caps w:val="false"/>
          <w:color w:val="1A1A1F"/>
          <w:sz w:val="19"/>
          <w:szCs w:val="19"/>
        </w:rPr>
        <w:t xml:space="preserve">The governance framework described in this paper aligns with the shared principles that financial regulators in Singapore, Hong Kong, and the United Kingdom have independently arrived at. Vektor was built on that view from the start.</w:t>
      </w:r>
    </w:p>
    <w:p>
      <w:pPr>
        <w:pBdr>
          <w:bottom w:val="single" w:color="D0CCCA" w:sz="4" w:space="2"/>
        </w:pBdr>
        <w:spacing w:after="80" w:before="200"/>
      </w:pPr>
    </w:p>
    <w:p>
      <w:pPr>
        <w:spacing w:after="60" w:before="0" w:line="276"/>
        <w:jc w:val="both"/>
      </w:pPr>
      <w:r>
        <w:rPr>
          <w:rFonts w:ascii="Arial" w:cs="Arial" w:eastAsia="Arial" w:hAnsi="Arial"/>
          <w:b w:val="false"/>
          <w:bCs w:val="false"/>
          <w:i/>
          <w:iCs/>
          <w:caps w:val="false"/>
          <w:color w:val="9A9086"/>
          <w:sz w:val="16"/>
          <w:szCs w:val="16"/>
        </w:rPr>
        <w:t xml:space="preserve">For technical infrastructure supporting ML deployment, see WP-07. For compliance and audit trail architecture, see WP-06. All documents at investpuppy.com.</w:t>
      </w:r>
    </w:p>
    <w:p>
      <w:pPr>
        <w:spacing w:after="60" w:before="0" w:line="276"/>
        <w:jc w:val="center"/>
      </w:pPr>
      <w:r>
        <w:rPr>
          <w:rFonts w:ascii="Arial" w:cs="Arial" w:eastAsia="Arial" w:hAnsi="Arial"/>
          <w:b w:val="false"/>
          <w:bCs w:val="false"/>
          <w:i w:val="false"/>
          <w:iCs w:val="false"/>
          <w:caps w:val="false"/>
          <w:color w:val="9A9086"/>
          <w:sz w:val="15"/>
          <w:szCs w:val="15"/>
        </w:rPr>
        <w:t xml:space="preserve">investpuppy.com  ·  contact@investpuppy.com  ·  IP-WP-AIML-260501-1.0  ·  Copyright 2026 InvestPuppy</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 Instrument</dc:title>
  <dc:creator>InvestPuppy</dc:creator>
  <cp:lastModifiedBy>Un-named</cp:lastModifiedBy>
  <cp:revision>1</cp:revision>
  <dcterms:created xsi:type="dcterms:W3CDTF">2026-05-06T02:04:20.703Z</dcterms:created>
  <dcterms:modified xsi:type="dcterms:W3CDTF">2026-05-06T02:04:20.703Z</dcterms:modified>
</cp:coreProperties>
</file>

<file path=docProps/custom.xml><?xml version="1.0" encoding="utf-8"?>
<Properties xmlns="http://schemas.openxmlformats.org/officeDocument/2006/custom-properties" xmlns:vt="http://schemas.openxmlformats.org/officeDocument/2006/docPropsVTypes"/>
</file>