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/>
          <w:color w:val="9A9086"/>
          <w:spacing w:val="80"/>
          <w:sz w:val="14"/>
          <w:szCs w:val="14"/>
        </w:rPr>
        <w:t xml:space="preserve">VEKTOR  ·  BY INVESTPUPPY</w:t>
      </w:r>
    </w:p>
    <w:p>
      <w:pPr>
        <w:pBdr>
          <w:bottom w:val="single" w:color="C8A96E" w:sz="12" w:space="4"/>
        </w:pBdr>
        <w:spacing w:after="120" w:before="60"/>
      </w:pPr>
    </w:p>
    <w:p>
      <w:pPr>
        <w:spacing w:after="12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40"/>
          <w:szCs w:val="40"/>
        </w:rPr>
        <w:t xml:space="preserve">Due Diligence
Navigation Guide</w:t>
      </w:r>
    </w:p>
    <w:p>
      <w:pPr>
        <w:spacing w:after="20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Which document answers which question — a reading guide for institutional partners working through the full Vektor document suite.</w:t>
      </w:r>
    </w:p>
    <w:p>
      <w:pPr>
        <w:pBdr>
          <w:bottom w:val="single" w:color="D0CCCA" w:sz="4" w:space="2"/>
        </w:pBdr>
        <w:spacing w:after="80" w:before="80"/>
      </w:pP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7"/>
          <w:szCs w:val="17"/>
        </w:rPr>
        <w:t xml:space="preserve">For Founding Mandate partners and institutional due diligence teams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9A9086"/>
          <w:sz w:val="15"/>
          <w:szCs w:val="15"/>
        </w:rPr>
        <w:t xml:space="preserve">IP-DDG-260501-2.0  ·  May 2026</w:t>
      </w:r>
    </w:p>
    <w:p>
      <w:pPr>
        <w:spacing w:after="0" w:before="0"/>
      </w:pPr>
      <w:r>
        <w:br w:type="page"/>
      </w: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HOW TO USE THIS GUIDE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Vektor document suite contains sixteen documents. This guide tells you which one to read in response to the question you are actually trying to answer. It is not a catalogue — it is a navigation tool. The recommended sequence for a Founding Mandate due diligence process is at the end.</w:t>
      </w:r>
    </w:p>
    <w:p>
      <w:pPr>
        <w:pBdr>
          <w:bottom w:val="single" w:color="D0CCCA" w:sz="4" w:space="2"/>
        </w:pBdr>
        <w:spacing w:after="60" w:before="6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IF YOUR QUESTION IS COMMERCIAL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Start here. These documents make the commercial case.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Vektor at a Glance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is Vektor, and why does it exist?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One page. Start here for any first conversation.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Platform Brochure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does Vektor actually do, step by step?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eleven-step workflow with screenshots. The most complete overview of the platform in operation.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Why Vektor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is the commercial argument for systematic portfolio management?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market problem, the DPM workflow, the Founding Mandate proposition. Contains a summary of the Founding Mandate Programme on page 6.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Founding Mandate Programme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exactly is the Founding Mandate? What are the commercial terms, obligations, and programme mechanics?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>The complete programme specification: what partners receive, what they commit to, slot availability, the fifteen-month founding period, and the three-step path to engagement. Reference: IP-FMP-260501-1.0.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The Vektor Brand Story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Who built this and why?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origin story and the philosophy behind the platform.</w:t>
      </w:r>
    </w:p>
    <w:p>
      <w:pPr>
        <w:pBdr>
          <w:bottom w:val="single" w:color="D0CCCA" w:sz="4" w:space="2"/>
        </w:pBdr>
        <w:spacing w:after="20" w:before="4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IF YOUR QUESTION IS METHODOLOGICAL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How the quantitative engine works.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WP-01: Quantitative Portfolio Construction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How does the portfolio construction process work end to end?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foundational paper. Five-stage framework with a worked SGX example. Start here before reading any other white paper.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WP-02: Per-Instrument Signal Optimisation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How does Vektor select the right indicator for each instrument?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grid search methodology and XGBoost validation layer.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WP-03: Capital Allocation Precision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How do portfolio weights become actual share quantities?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Lot rounding, cash buffer, and capital allocation efficiency.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WP-04: Technical Indicator Selection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are the six indicators, and how are parameters optimised?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Full parameter space specification and overfitting controls.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WP-05: Multi-Currency Portfolio Infrastructure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How does Vektor handle portfolios across multiple currencies?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FX rate collection, position-level conversion, base currency configuration.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WP-10: Evaluating Systematic Strategy Performance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metrics should I use to evaluate a systematic strategy?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Sharpe ratio, drawdown, benchmark comparison, signal decay, walk-forward validation. Essential reading before reviewing any Vektor strategy output.</w:t>
      </w:r>
    </w:p>
    <w:p>
      <w:pPr>
        <w:pBdr>
          <w:bottom w:val="single" w:color="D0CCCA" w:sz="4" w:space="2"/>
        </w:pBdr>
        <w:spacing w:after="20" w:before="4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IF YOUR QUESTION IS ABOUT GOVERNANCE &amp; COMPLIANCE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Controls, audit trail, and regulatory alignment.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WP-06: Audit Trail &amp; Compliance Architecture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is the audit trail? Who approves what?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The three-role model, complete action logging, compliance architecture. The first white paper a compliance officer should read.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WP-08: AI as Instrument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Where is AI used? Can the machine trade without human approval?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Governing principle, human approval gates, MAS FEAT / SFC / FCA alignment.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WP-09: Risk &amp; Limitation Disclosure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are the platform's risks and limitations?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Fourteen identified risks across four categories with mitigations in place and those on the roadmap. Read before any risk committee presentation.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Mutual NDA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confidentiality terms govern our discussions?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Singapore law primary. Requires review by qualified Singapore solicitor before use.</w:t>
      </w:r>
    </w:p>
    <w:p>
      <w:pPr>
        <w:pBdr>
          <w:bottom w:val="single" w:color="D0CCCA" w:sz="4" w:space="2"/>
        </w:pBdr>
        <w:spacing w:after="20" w:before="4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IF YOUR QUESTION IS TECHNICAL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Infrastructure, integration, and architecture.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WP-07: Production Infrastructure &amp; Technical Architecture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How is the platform built? Can it integrate with our existing infrastructure?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AWS service inventory, architecture diagram, decision log, data flows, integration patterns, region-agnostic deployment, and current deployment status.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Workflow Integration Guide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 xml:space="preserve">What does adopting Vektor mean for the way I work today?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Task-by-task workflow map — what Vektor replaces, augments, and leaves unchanged.</w:t>
      </w:r>
    </w:p>
    <w:p>
      <w:pPr>
        <w:pBdr>
          <w:bottom w:val="single" w:color="D0CCCA" w:sz="4" w:space="2"/>
        </w:pBdr>
        <w:spacing w:after="20" w:before="40"/>
      </w:pP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IF YOUR QUESTION IS OPERATIONAL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Day-to-day use and getting started.</w:t>
      </w:r>
    </w:p>
    <w:p>
      <w:pPr>
        <w:spacing w:after="40" w:before="14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1A1A1F"/>
          <w:sz w:val="20"/>
          <w:szCs w:val="20"/>
        </w:rPr>
        <w:t xml:space="preserve">Frequently Asked Questions</w:t>
      </w:r>
    </w:p>
    <w:p>
      <w:pPr>
        <w:spacing w:after="60" w:before="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 w:val="false"/>
          <w:color w:val="C8A96E"/>
          <w:sz w:val="19"/>
          <w:szCs w:val="19"/>
        </w:rPr>
        <w:t xml:space="preserve">Answers: </w:t>
      </w: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9"/>
          <w:szCs w:val="19"/>
        </w:rPr>
        <w:t>Quick answers to the fifteen questions that come up in every conversation.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Plain language. Two pages. Useful leave-behind for any meeting.</w:t>
      </w:r>
    </w:p>
    <w:p>
      <w:pPr>
        <w:pBdr>
          <w:bottom w:val="single" w:color="D0CCCA" w:sz="4" w:space="2"/>
        </w:pBdr>
        <w:spacing w:after="20" w:before="40"/>
      </w:pPr>
    </w:p>
    <w:p>
      <w:pPr>
        <w:spacing w:after="0" w:before="0"/>
      </w:pPr>
      <w:r>
        <w:br w:type="page"/>
      </w:r>
    </w:p>
    <w:p>
      <w:pPr>
        <w:spacing w:after="40" w:before="280" w:line="276"/>
        <w:jc w:val="left"/>
      </w:pPr>
      <w:r>
        <w:rPr>
          <w:rFonts w:ascii="Arial" w:cs="Arial" w:eastAsia="Arial" w:hAnsi="Arial"/>
          <w:b/>
          <w:bCs/>
          <w:i w:val="false"/>
          <w:iCs w:val="false"/>
          <w:caps/>
          <w:color w:val="C8A96E"/>
          <w:spacing w:val="80"/>
          <w:sz w:val="14"/>
          <w:szCs w:val="14"/>
        </w:rPr>
        <w:t xml:space="preserve">RECOMMENDED SEQUENCE — FOUNDING MANDATE DUE DILIGENCE</w:t>
      </w:r>
    </w:p>
    <w:p>
      <w:pPr>
        <w:spacing w:after="140" w:before="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20"/>
          <w:szCs w:val="20"/>
        </w:rPr>
        <w:t xml:space="preserve">For a partner working through the full suite for the first time. Each step builds on the previous one.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5138"/>
      </w:tblGrid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STEP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DOCUMENT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E8E4E0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5A5A60"/>
                <w:sz w:val="17"/>
                <w:szCs w:val="17"/>
              </w:rPr>
              <w:t xml:space="preserve">PURPOSE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Vektor at a Glance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>Establish the platform’s proposition and the problem it solves — in two minutes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Platform Brochure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Understand the full workflow and platform capability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Why Vektor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Evaluate the commercial argument and Founding Mandate summary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4★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Founding Mandate Programme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Understand the full programme structure before entering due diligence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WP-01: Quantitative Portfolio Construction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Understand the quantitative methodology foundation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WP-09: Risk &amp; Limitation Disclosure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Assess platform risk with full information before evaluating outputs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WP-10: Evaluating Systematic Strategy Performance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Acquire the vocabulary to evaluate strategy outputs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8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WP-06: Audit Trail &amp; Compliance Architecture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Review governance and audit trail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9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WP-08: AI as Instrument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Assess AI governance and regulatory alignment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10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WP-07: Technical Architecture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Technical due diligence — infrastructure and integration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11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Workflow Integration Guide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Understand how Vektor fits your existing workflow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12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WP-02 through WP-05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Deep methodology review as required</w:t>
            </w:r>
          </w:p>
        </w:tc>
      </w:tr>
      <w:tr>
        <w:tc>
          <w:tcPr>
            <w:tcW w:type="dxa" w:w="7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C8A96E"/>
                <w:sz w:val="17"/>
                <w:szCs w:val="17"/>
              </w:rPr>
              <w:t xml:space="preserve">13</w:t>
            </w:r>
          </w:p>
        </w:tc>
        <w:tc>
          <w:tcPr>
            <w:tcW w:type="dxa" w:w="3800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Mutual NDA</w:t>
            </w:r>
          </w:p>
        </w:tc>
        <w:tc>
          <w:tcPr>
            <w:tcW w:type="dxa" w:w="5138"/>
            <w:tcBorders>
              <w:top w:val="single" w:color="DDDDDD" w:sz="2"/>
              <w:left w:val="single" w:color="DDDDDD" w:sz="2"/>
              <w:bottom w:val="single" w:color="DDDDDD" w:sz="2"/>
              <w:right w:val="single" w:color="DDDDDD" w:sz="2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 w:before="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aps w:val="false"/>
                <w:color w:val="1A1A1F"/>
                <w:sz w:val="17"/>
                <w:szCs w:val="17"/>
              </w:rPr>
              <w:t xml:space="preserve">Establish confidentiality terms for detailed commercial discussions</w:t>
            </w:r>
          </w:p>
        </w:tc>
      </w:tr>
    </w:tbl>
    <w:p>
      <w:pPr>
        <w:spacing w:after="60" w:before="80" w:line="276"/>
        <w:jc w:val="left"/>
      </w:pPr>
      <w:r>
        <w:rPr>
          <w:rFonts w:ascii="Arial" w:cs="Arial" w:eastAsia="Arial" w:hAnsi="Arial"/>
          <w:b w:val="false"/>
          <w:bCs w:val="false"/>
          <w:i/>
          <w:iCs/>
          <w:caps w:val="false"/>
          <w:color w:val="9A9086"/>
          <w:sz w:val="16"/>
          <w:szCs w:val="16"/>
        </w:rPr>
        <w:t xml:space="preserve">★ Founding Mandate Programme is a new addition to the suite (IP-FMP-260501-1.0). Read after Why Vektor for the complete programme specification.</w:t>
      </w:r>
    </w:p>
    <w:p>
      <w:pPr>
        <w:spacing w:after="100" w:before="0" w:line="276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1A1A1F"/>
          <w:sz w:val="19"/>
          <w:szCs w:val="19"/>
        </w:rPr>
        <w:t xml:space="preserve">Questions not answered by any document in the suite should be directed to contact@investpuppy.com. All documents available at investpuppy.com.</w:t>
      </w:r>
    </w:p>
    <w:p>
      <w:pPr>
        <w:pBdr>
          <w:bottom w:val="single" w:color="D0CCCA" w:sz="4" w:space="2"/>
        </w:pBdr>
        <w:spacing w:after="80" w:before="120"/>
      </w:pPr>
    </w:p>
    <w:p>
      <w:pPr>
        <w:spacing w:after="60" w:before="0" w:line="276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aps w:val="false"/>
          <w:color w:val="9A9086"/>
          <w:sz w:val="15"/>
          <w:szCs w:val="15"/>
        </w:rPr>
        <w:t xml:space="preserve">investpuppy.com  ·  contact@investpuppy.com  ·  IP-DDG-260501-2.0  ·  Copyright 2026 InvestPuppy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4" w:color="888884"/>
      </w:pBdr>
      <w:tabs>
        <w:tab w:val="right" w:pos="9638"/>
      </w:tabs>
      <w:spacing w:before="0" w:after="0"/>
    </w:pPr>
    <w:r>
      <w:drawing>
        <wp:inline xmlns:a="http://schemas.openxmlformats.org/drawingml/2006/main" xmlns:pic="http://schemas.openxmlformats.org/drawingml/2006/picture">
          <wp:extent cx="1008000" cy="82543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PHorizontalInvCle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8000" cy="825431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sz w:val="11"/>
        <w:color w:val="666660"/>
      </w:rPr>
      <w:t>investpuppy.com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Due Diligence Navigation Guide</dc:title>
  <dc:creator>InvestPuppy</dc:creator>
  <cp:lastModifiedBy>Un-named</cp:lastModifiedBy>
  <cp:revision>1</cp:revision>
  <dcterms:created xsi:type="dcterms:W3CDTF">2026-05-06T02:04:20.930Z</dcterms:created>
  <dcterms:modified xsi:type="dcterms:W3CDTF">2026-05-06T02:04:20.930Z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