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line="276"/>
        <w:jc w:val="left"/>
      </w:pPr>
      <w:r>
        <w:rPr>
          <w:rFonts w:ascii="Arial" w:cs="Arial" w:eastAsia="Arial" w:hAnsi="Arial"/>
          <w:b w:val="false"/>
          <w:bCs w:val="false"/>
          <w:i w:val="false"/>
          <w:iCs w:val="false"/>
          <w:caps/>
          <w:color w:val="9A9086"/>
          <w:spacing w:val="80"/>
          <w:sz w:val="14"/>
          <w:szCs w:val="14"/>
        </w:rPr>
        <w:t xml:space="preserve">VEKTOR RESEARCH SERIES  ·  2026</w:t>
      </w:r>
    </w:p>
    <w:p>
      <w:pPr>
        <w:pBdr>
          <w:bottom w:val="single" w:color="C8A96E" w:sz="12" w:space="4"/>
        </w:pBdr>
        <w:spacing w:after="120" w:before="60"/>
      </w:pPr>
    </w:p>
    <w:p>
      <w:pPr>
        <w:spacing w:after="120" w:before="0" w:line="276"/>
        <w:jc w:val="left"/>
      </w:pPr>
      <w:r>
        <w:rPr>
          <w:rFonts w:ascii="Arial" w:cs="Arial" w:eastAsia="Arial" w:hAnsi="Arial"/>
          <w:b/>
          <w:bCs/>
          <w:i w:val="false"/>
          <w:iCs w:val="false"/>
          <w:caps w:val="false"/>
          <w:color w:val="1A1A1F"/>
          <w:sz w:val="40"/>
          <w:szCs w:val="40"/>
        </w:rPr>
        <w:t xml:space="preserve">Risk &amp; Limitation
Disclosure</w:t>
      </w:r>
    </w:p>
    <w:p>
      <w:pPr>
        <w:spacing w:after="200" w:before="0" w:line="276"/>
        <w:jc w:val="left"/>
      </w:pPr>
      <w:r>
        <w:rPr>
          <w:rFonts w:ascii="Arial" w:cs="Arial" w:eastAsia="Arial" w:hAnsi="Arial"/>
          <w:b w:val="false"/>
          <w:bCs w:val="false"/>
          <w:i/>
          <w:iCs/>
          <w:caps w:val="false"/>
          <w:color w:val="9A9086"/>
          <w:sz w:val="20"/>
          <w:szCs w:val="20"/>
        </w:rPr>
        <w:t xml:space="preserve">A structured, honest analysis of the risks and limitations of the Vektor platform — model risk, execution risk, data risk, and operational risk — with the mitigations in place and those still on the roadmap.</w:t>
      </w:r>
    </w:p>
    <w:p>
      <w:pPr>
        <w:pBdr>
          <w:bottom w:val="single" w:color="D0CCCA" w:sz="4" w:space="2"/>
        </w:pBdr>
        <w:spacing w:after="80" w:before="80"/>
      </w:pPr>
    </w:p>
    <w:p>
      <w:pPr>
        <w:spacing w:after="60" w:before="0" w:line="276"/>
        <w:jc w:val="left"/>
      </w:pPr>
      <w:r>
        <w:rPr>
          <w:rFonts w:ascii="Arial" w:cs="Arial" w:eastAsia="Arial" w:hAnsi="Arial"/>
          <w:b w:val="false"/>
          <w:bCs w:val="false"/>
          <w:i/>
          <w:iCs/>
          <w:caps w:val="false"/>
          <w:color w:val="9A9086"/>
          <w:sz w:val="17"/>
          <w:szCs w:val="17"/>
        </w:rPr>
        <w:t xml:space="preserve">For institutional due diligence teams, risk committees, and compliance officers</w:t>
      </w:r>
    </w:p>
    <w:p>
      <w:pPr>
        <w:spacing w:after="60" w:before="0" w:line="276"/>
        <w:jc w:val="left"/>
      </w:pPr>
      <w:r>
        <w:rPr>
          <w:rFonts w:ascii="Arial" w:cs="Arial" w:eastAsia="Arial" w:hAnsi="Arial"/>
          <w:b w:val="false"/>
          <w:bCs w:val="false"/>
          <w:i w:val="false"/>
          <w:iCs w:val="false"/>
          <w:caps w:val="false"/>
          <w:color w:val="9A9086"/>
          <w:sz w:val="15"/>
          <w:szCs w:val="15"/>
        </w:rPr>
        <w:t xml:space="preserve">IP-WP-RISK-260501-1.0  ·  Copyright 2026 InvestPuppy  ·  investpuppy.com</w:t>
      </w:r>
    </w:p>
    <w:p>
      <w:pPr>
        <w:spacing w:after="0" w:before="0"/>
      </w:pPr>
      <w:r>
        <w:br w:type="page"/>
      </w:r>
    </w:p>
    <w:p>
      <w:pPr>
        <w:spacing w:after="40" w:before="280" w:line="276"/>
        <w:jc w:val="left"/>
      </w:pPr>
      <w:r>
        <w:rPr>
          <w:rFonts w:ascii="Arial" w:cs="Arial" w:eastAsia="Arial" w:hAnsi="Arial"/>
          <w:b/>
          <w:bCs/>
          <w:i w:val="false"/>
          <w:iCs w:val="false"/>
          <w:caps/>
          <w:color w:val="C8A96E"/>
          <w:spacing w:val="80"/>
          <w:sz w:val="14"/>
          <w:szCs w:val="14"/>
        </w:rPr>
        <w:t xml:space="preserve">ABSTRACT</w:t>
      </w:r>
    </w:p>
    <w:p>
      <w:pPr>
        <w:spacing w:after="100" w:before="0" w:line="276"/>
        <w:jc w:val="both"/>
      </w:pPr>
      <w:r>
        <w:rPr>
          <w:rFonts w:ascii="Arial" w:cs="Arial" w:eastAsia="Arial" w:hAnsi="Arial"/>
          <w:b w:val="false"/>
          <w:bCs w:val="false"/>
          <w:i w:val="false"/>
          <w:iCs w:val="false"/>
          <w:caps w:val="false"/>
          <w:color w:val="1A1A1F"/>
          <w:sz w:val="19"/>
          <w:szCs w:val="19"/>
        </w:rPr>
        <w:t xml:space="preserve">This paper does not exist to satisfy a legal requirement. It exists because institutional investors conducting due diligence should have a single, structured document that addresses platform risk directly — not distributed across white papers or buried in product documentation. The tone is the same as the rest of the Vektor research series: specific, honest, and free of hedging language that obscures rather than informs. Where a risk is real, this paper says so. Where a mitigation is partial, this paper says that too.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4"/>
            <w:tcBorders>
              <w:top w:val="single" w:color="C8A96E" w:sz="8"/>
              <w:left w:val="none"/>
              <w:bottom w:val="none"/>
              <w:right w:val="none"/>
            </w:tcBorders>
            <w:shd w:fill="F4F2F0" w:val="clear"/>
            <w:tcMar>
              <w:top w:type="dxa" w:w="100"/>
              <w:left w:type="dxa" w:w="160"/>
              <w:bottom w:type="dxa" w:w="60"/>
              <w:right w:type="dxa" w:w="160"/>
            </w:tcMar>
          </w:tcPr>
          <w:p>
            <w:pPr>
              <w:spacing w:after="80" w:before="0"/>
            </w:pPr>
            <w:r>
              <w:rPr>
                <w:rFonts w:ascii="Arial" w:cs="Arial" w:eastAsia="Arial" w:hAnsi="Arial"/>
                <w:b/>
                <w:bCs/>
                <w:i w:val="false"/>
                <w:iCs w:val="false"/>
                <w:caps/>
                <w:color w:val="C8A96E"/>
                <w:spacing w:val="80"/>
                <w:sz w:val="14"/>
                <w:szCs w:val="14"/>
              </w:rPr>
              <w:t xml:space="preserve">KEY TAKEAWAYS</w:t>
            </w:r>
          </w:p>
        </w:tc>
      </w:tr>
      <w:tr>
        <w:tc>
          <w:tcPr>
            <w:tcW w:type="dxa" w:w="9634"/>
            <w:tcBorders>
              <w:top w:val="none"/>
              <w:left w:val="none"/>
              <w:bottom w:val="none"/>
              <w:right w:val="none"/>
            </w:tcBorders>
            <w:shd w:fill="F4F2F0" w:val="clear"/>
            <w:tcMar>
              <w:top w:type="dxa" w:w="0"/>
              <w:left w:type="dxa" w:w="160"/>
              <w:bottom w:type="dxa" w:w="60"/>
              <w:right w:type="dxa" w:w="160"/>
            </w:tcMar>
          </w:tcPr>
          <w:p>
            <w:pPr>
              <w:spacing w:after="80" w:before="0"/>
              <w:jc w:val="both"/>
            </w:pPr>
            <w:r>
              <w:rPr>
                <w:rFonts w:ascii="Arial" w:cs="Arial" w:eastAsia="Arial" w:hAnsi="Arial"/>
                <w:b w:val="false"/>
                <w:bCs w:val="false"/>
                <w:i w:val="false"/>
                <w:iCs w:val="false"/>
                <w:caps w:val="false"/>
                <w:color w:val="1A1A1F"/>
                <w:sz w:val="18"/>
                <w:szCs w:val="18"/>
              </w:rPr>
              <w:t xml:space="preserve">— </w:t>
            </w:r>
            <w:r>
              <w:rPr>
                <w:rFonts w:ascii="Arial" w:cs="Arial" w:eastAsia="Arial" w:hAnsi="Arial"/>
                <w:b w:val="false"/>
                <w:bCs w:val="false"/>
                <w:i w:val="false"/>
                <w:iCs w:val="false"/>
                <w:caps w:val="false"/>
                <w:color w:val="1A1A1F"/>
                <w:sz w:val="18"/>
                <w:szCs w:val="18"/>
              </w:rPr>
              <w:t xml:space="preserve">Four risk categories are addressed: model risk, execution risk, data risk, and operational risk. Each is assessed with mitigations in place and those still on the roadmap.</w:t>
            </w:r>
          </w:p>
        </w:tc>
      </w:tr>
      <w:tr>
        <w:tc>
          <w:tcPr>
            <w:tcW w:type="dxa" w:w="9634"/>
            <w:tcBorders>
              <w:top w:val="none"/>
              <w:left w:val="none"/>
              <w:bottom w:val="none"/>
              <w:right w:val="none"/>
            </w:tcBorders>
            <w:shd w:fill="F4F2F0" w:val="clear"/>
            <w:tcMar>
              <w:top w:type="dxa" w:w="0"/>
              <w:left w:type="dxa" w:w="160"/>
              <w:bottom w:type="dxa" w:w="60"/>
              <w:right w:type="dxa" w:w="160"/>
            </w:tcMar>
          </w:tcPr>
          <w:p>
            <w:pPr>
              <w:spacing w:after="80" w:before="0"/>
              <w:jc w:val="both"/>
            </w:pPr>
            <w:r>
              <w:rPr>
                <w:rFonts w:ascii="Arial" w:cs="Arial" w:eastAsia="Arial" w:hAnsi="Arial"/>
                <w:b w:val="false"/>
                <w:bCs w:val="false"/>
                <w:i w:val="false"/>
                <w:iCs w:val="false"/>
                <w:caps w:val="false"/>
                <w:color w:val="1A1A1F"/>
                <w:sz w:val="18"/>
                <w:szCs w:val="18"/>
              </w:rPr>
              <w:t xml:space="preserve">— </w:t>
            </w:r>
            <w:r>
              <w:rPr>
                <w:rFonts w:ascii="Arial" w:cs="Arial" w:eastAsia="Arial" w:hAnsi="Arial"/>
                <w:b w:val="false"/>
                <w:bCs w:val="false"/>
                <w:i w:val="false"/>
                <w:iCs w:val="false"/>
                <w:caps w:val="false"/>
                <w:color w:val="1A1A1F"/>
                <w:sz w:val="18"/>
                <w:szCs w:val="18"/>
              </w:rPr>
              <w:t xml:space="preserve">The most significant risk at the current stage is model risk — specifically, the gap between backtest performance and live performance. This risk is acknowledged directly, with the structural mitigations the platform provides.</w:t>
            </w:r>
          </w:p>
        </w:tc>
      </w:tr>
      <w:tr>
        <w:tc>
          <w:tcPr>
            <w:tcW w:type="dxa" w:w="9634"/>
            <w:tcBorders>
              <w:top w:val="none"/>
              <w:left w:val="none"/>
              <w:bottom w:val="none"/>
              <w:right w:val="none"/>
            </w:tcBorders>
            <w:shd w:fill="F4F2F0" w:val="clear"/>
            <w:tcMar>
              <w:top w:type="dxa" w:w="0"/>
              <w:left w:type="dxa" w:w="160"/>
              <w:bottom w:type="dxa" w:w="60"/>
              <w:right w:type="dxa" w:w="160"/>
            </w:tcMar>
          </w:tcPr>
          <w:p>
            <w:pPr>
              <w:spacing w:after="80" w:before="0"/>
              <w:jc w:val="both"/>
            </w:pPr>
            <w:r>
              <w:rPr>
                <w:rFonts w:ascii="Arial" w:cs="Arial" w:eastAsia="Arial" w:hAnsi="Arial"/>
                <w:b w:val="false"/>
                <w:bCs w:val="false"/>
                <w:i w:val="false"/>
                <w:iCs w:val="false"/>
                <w:caps w:val="false"/>
                <w:color w:val="1A1A1F"/>
                <w:sz w:val="18"/>
                <w:szCs w:val="18"/>
              </w:rPr>
              <w:t xml:space="preserve">— </w:t>
            </w:r>
            <w:r>
              <w:rPr>
                <w:rFonts w:ascii="Arial" w:cs="Arial" w:eastAsia="Arial" w:hAnsi="Arial"/>
                <w:b w:val="false"/>
                <w:bCs w:val="false"/>
                <w:i w:val="false"/>
                <w:iCs w:val="false"/>
                <w:caps w:val="false"/>
                <w:color w:val="1A1A1F"/>
                <w:sz w:val="18"/>
                <w:szCs w:val="18"/>
              </w:rPr>
              <w:t xml:space="preserve">Human approval gates at every capital-at-risk stage are the primary operational risk mitigation. These gates are structural — they cannot be bypassed in configuration.</w:t>
            </w:r>
          </w:p>
        </w:tc>
      </w:tr>
      <w:tr>
        <w:tc>
          <w:tcPr>
            <w:tcW w:type="dxa" w:w="9634"/>
            <w:tcBorders>
              <w:top w:val="none"/>
              <w:left w:val="none"/>
              <w:bottom w:val="none"/>
              <w:right w:val="none"/>
            </w:tcBorders>
            <w:shd w:fill="F4F2F0" w:val="clear"/>
            <w:tcMar>
              <w:top w:type="dxa" w:w="0"/>
              <w:left w:type="dxa" w:w="160"/>
              <w:bottom w:type="dxa" w:w="60"/>
              <w:right w:type="dxa" w:w="160"/>
            </w:tcMar>
          </w:tcPr>
          <w:p>
            <w:pPr>
              <w:spacing w:after="80" w:before="0"/>
              <w:jc w:val="both"/>
            </w:pPr>
            <w:r>
              <w:rPr>
                <w:rFonts w:ascii="Arial" w:cs="Arial" w:eastAsia="Arial" w:hAnsi="Arial"/>
                <w:b w:val="false"/>
                <w:bCs w:val="false"/>
                <w:i w:val="false"/>
                <w:iCs w:val="false"/>
                <w:caps w:val="false"/>
                <w:color w:val="1A1A1F"/>
                <w:sz w:val="18"/>
                <w:szCs w:val="18"/>
              </w:rPr>
              <w:t xml:space="preserve">— </w:t>
            </w:r>
            <w:r>
              <w:rPr>
                <w:rFonts w:ascii="Arial" w:cs="Arial" w:eastAsia="Arial" w:hAnsi="Arial"/>
                <w:b w:val="false"/>
                <w:bCs w:val="false"/>
                <w:i w:val="false"/>
                <w:iCs w:val="false"/>
                <w:caps w:val="false"/>
                <w:color w:val="1A1A1F"/>
                <w:sz w:val="18"/>
                <w:szCs w:val="18"/>
              </w:rPr>
              <w:t xml:space="preserve">Several mitigations are on the roadmap rather than live today. This paper states which are complete and which are pending, with defined trigger conditions.</w:t>
            </w:r>
          </w:p>
        </w:tc>
      </w:tr>
      <w:tr>
        <w:tc>
          <w:tcPr>
            <w:tcW w:type="dxa" w:w="9634"/>
            <w:tcBorders>
              <w:top w:val="none"/>
              <w:left w:val="none"/>
              <w:bottom w:val="none"/>
              <w:right w:val="none"/>
            </w:tcBorders>
            <w:shd w:fill="F4F2F0" w:val="clear"/>
            <w:tcMar>
              <w:top w:type="dxa" w:w="0"/>
              <w:left w:type="dxa" w:w="160"/>
              <w:bottom w:type="dxa" w:w="60"/>
              <w:right w:type="dxa" w:w="160"/>
            </w:tcMar>
          </w:tcPr>
          <w:p>
            <w:pPr>
              <w:spacing w:after="80" w:before="0"/>
              <w:jc w:val="both"/>
            </w:pPr>
            <w:r>
              <w:rPr>
                <w:rFonts w:ascii="Arial" w:cs="Arial" w:eastAsia="Arial" w:hAnsi="Arial"/>
                <w:b w:val="false"/>
                <w:bCs w:val="false"/>
                <w:i w:val="false"/>
                <w:iCs w:val="false"/>
                <w:caps w:val="false"/>
                <w:color w:val="1A1A1F"/>
                <w:sz w:val="18"/>
                <w:szCs w:val="18"/>
              </w:rPr>
              <w:t xml:space="preserve">— </w:t>
            </w:r>
            <w:r>
              <w:rPr>
                <w:rFonts w:ascii="Arial" w:cs="Arial" w:eastAsia="Arial" w:hAnsi="Arial"/>
                <w:b w:val="false"/>
                <w:bCs w:val="false"/>
                <w:i w:val="false"/>
                <w:iCs w:val="false"/>
                <w:caps w:val="false"/>
                <w:color w:val="1A1A1F"/>
                <w:sz w:val="18"/>
                <w:szCs w:val="18"/>
              </w:rPr>
              <w:t xml:space="preserve">Founding Mandate partners are invited to raise any risk not addressed here. The Founding Mandate is a partnership in which both parties are building toward the same outcome.</w:t>
            </w:r>
          </w:p>
        </w:tc>
      </w:tr>
    </w:tbl>
    <w:p>
      <w:pPr>
        <w:spacing w:after="40" w:before="60" w:line="276"/>
        <w:jc w:val="center"/>
      </w:pPr>
      <w:r>
        <w:rPr>
          <w:rFonts w:ascii="Arial" w:cs="Arial" w:eastAsia="Arial" w:hAnsi="Arial"/>
          <w:b w:val="false"/>
          <w:bCs w:val="false"/>
          <w:i w:val="false"/>
          <w:iCs w:val="false"/>
          <w:caps w:val="false"/>
          <w:color w:val="9A9086"/>
          <w:sz w:val="15"/>
          <w:szCs w:val="15"/>
        </w:rPr>
        <w:t xml:space="preserve">investpuppy.com  ·  contact@investpuppy.com  ·  IP-WP-RISK-260501-1.0  ·  Copyright 2026 InvestPuppy</w:t>
      </w:r>
    </w:p>
    <w:p>
      <w:pPr>
        <w:spacing w:after="0" w:before="0"/>
      </w:pPr>
      <w:r>
        <w:br w:type="page"/>
      </w:r>
    </w:p>
    <w:p>
      <w:pPr>
        <w:spacing w:after="40" w:before="280" w:line="276"/>
        <w:jc w:val="left"/>
      </w:pPr>
      <w:r>
        <w:rPr>
          <w:rFonts w:ascii="Arial" w:cs="Arial" w:eastAsia="Arial" w:hAnsi="Arial"/>
          <w:b/>
          <w:bCs/>
          <w:i w:val="false"/>
          <w:iCs w:val="false"/>
          <w:caps/>
          <w:color w:val="C8A96E"/>
          <w:spacing w:val="80"/>
          <w:sz w:val="14"/>
          <w:szCs w:val="14"/>
        </w:rPr>
        <w:t xml:space="preserve">1</w:t>
      </w:r>
    </w:p>
    <w:p>
      <w:pPr>
        <w:spacing w:after="80" w:before="0" w:line="276"/>
        <w:jc w:val="left"/>
      </w:pPr>
      <w:r>
        <w:rPr>
          <w:rFonts w:ascii="Arial" w:cs="Arial" w:eastAsia="Arial" w:hAnsi="Arial"/>
          <w:b/>
          <w:bCs/>
          <w:i w:val="false"/>
          <w:iCs w:val="false"/>
          <w:caps w:val="false"/>
          <w:color w:val="1A1A1F"/>
          <w:sz w:val="28"/>
          <w:szCs w:val="28"/>
        </w:rPr>
        <w:t xml:space="preserve">HOW TO READ THIS DOCUMENT</w:t>
      </w:r>
    </w:p>
    <w:p>
      <w:pPr>
        <w:spacing w:after="100" w:before="0" w:line="276"/>
        <w:jc w:val="both"/>
      </w:pPr>
      <w:r>
        <w:rPr>
          <w:rFonts w:ascii="Arial" w:cs="Arial" w:eastAsia="Arial" w:hAnsi="Arial"/>
          <w:b w:val="false"/>
          <w:bCs w:val="false"/>
          <w:i w:val="false"/>
          <w:iCs w:val="false"/>
          <w:caps w:val="false"/>
          <w:color w:val="1A1A1F"/>
          <w:sz w:val="19"/>
          <w:szCs w:val="19"/>
        </w:rPr>
        <w:t xml:space="preserve">This document is a practitioner's risk analysis — structured in the same format as any internal risk assessment a portfolio manager or compliance officer would produce when evaluating a new system. It identifies risks, assesses likelihood and impact, states mitigations in place, and is honest about where mitigations are still on the roadmap.</w:t>
      </w:r>
    </w:p>
    <w:p>
      <w:pPr>
        <w:spacing w:after="100" w:before="0" w:line="276"/>
        <w:jc w:val="both"/>
      </w:pPr>
      <w:r>
        <w:rPr>
          <w:rFonts w:ascii="Arial" w:cs="Arial" w:eastAsia="Arial" w:hAnsi="Arial"/>
          <w:b w:val="false"/>
          <w:bCs w:val="false"/>
          <w:i w:val="false"/>
          <w:iCs w:val="false"/>
          <w:caps w:val="false"/>
          <w:color w:val="1A1A1F"/>
          <w:sz w:val="19"/>
          <w:szCs w:val="19"/>
        </w:rPr>
        <w:t xml:space="preserve">It is not a legal disclaimer. It does not attempt to limit liability through exhaustive caveats. Readers seeking a legal risk disclosure should request the separate legal documentation available to Founding Mandate partners.</w:t>
      </w:r>
    </w:p>
    <w:p>
      <w:pPr>
        <w:pBdr>
          <w:bottom w:val="single" w:color="D0CCCA" w:sz="4" w:space="2"/>
        </w:pBdr>
        <w:spacing w:after="80" w:before="120"/>
      </w:pPr>
    </w:p>
    <w:p>
      <w:pPr>
        <w:spacing w:after="40" w:before="280" w:line="276"/>
        <w:jc w:val="left"/>
      </w:pPr>
      <w:r>
        <w:rPr>
          <w:rFonts w:ascii="Arial" w:cs="Arial" w:eastAsia="Arial" w:hAnsi="Arial"/>
          <w:b/>
          <w:bCs/>
          <w:i w:val="false"/>
          <w:iCs w:val="false"/>
          <w:caps/>
          <w:color w:val="C8A96E"/>
          <w:spacing w:val="80"/>
          <w:sz w:val="14"/>
          <w:szCs w:val="14"/>
        </w:rPr>
        <w:t xml:space="preserve">2</w:t>
      </w:r>
    </w:p>
    <w:p>
      <w:pPr>
        <w:spacing w:after="80" w:before="0" w:line="276"/>
        <w:jc w:val="left"/>
      </w:pPr>
      <w:r>
        <w:rPr>
          <w:rFonts w:ascii="Arial" w:cs="Arial" w:eastAsia="Arial" w:hAnsi="Arial"/>
          <w:b/>
          <w:bCs/>
          <w:i w:val="false"/>
          <w:iCs w:val="false"/>
          <w:caps w:val="false"/>
          <w:color w:val="1A1A1F"/>
          <w:sz w:val="28"/>
          <w:szCs w:val="28"/>
        </w:rPr>
        <w:t xml:space="preserve">RISK SUMMARY</w:t>
      </w:r>
    </w:p>
    <w:p>
      <w:pPr>
        <w:spacing w:after="140" w:before="0" w:line="276"/>
        <w:jc w:val="left"/>
      </w:pPr>
      <w:r>
        <w:rPr>
          <w:rFonts w:ascii="Arial" w:cs="Arial" w:eastAsia="Arial" w:hAnsi="Arial"/>
          <w:b w:val="false"/>
          <w:bCs w:val="false"/>
          <w:i/>
          <w:iCs/>
          <w:caps w:val="false"/>
          <w:color w:val="9A9086"/>
          <w:sz w:val="20"/>
          <w:szCs w:val="20"/>
        </w:rPr>
        <w:t xml:space="preserve">Fourteen identified risks across four categories. Read across: risk area, likelihood, impact, mitigation in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4838"/>
      </w:tblGrid>
      <w:tr>
        <w:tc>
          <w:tcPr>
            <w:tcW w:type="dxa" w:w="2800"/>
            <w:tcBorders>
              <w:top w:val="single" w:color="DDDDDD" w:sz="2"/>
              <w:left w:val="single" w:color="DDDDDD" w:sz="2"/>
              <w:bottom w:val="single" w:color="DDDDDD" w:sz="2"/>
              <w:right w:val="single" w:color="DDDDDD" w:sz="2"/>
            </w:tcBorders>
            <w:shd w:fill="E8E4E0"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5A5A60"/>
                <w:sz w:val="17"/>
                <w:szCs w:val="17"/>
              </w:rPr>
              <w:t xml:space="preserve">RISK AREA</w:t>
            </w:r>
          </w:p>
        </w:tc>
        <w:tc>
          <w:tcPr>
            <w:tcW w:type="dxa" w:w="1000"/>
            <w:tcBorders>
              <w:top w:val="single" w:color="DDDDDD" w:sz="2"/>
              <w:left w:val="single" w:color="DDDDDD" w:sz="2"/>
              <w:bottom w:val="single" w:color="DDDDDD" w:sz="2"/>
              <w:right w:val="single" w:color="DDDDDD" w:sz="2"/>
            </w:tcBorders>
            <w:shd w:fill="E8E4E0"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5A5A60"/>
                <w:sz w:val="17"/>
                <w:szCs w:val="17"/>
              </w:rPr>
              <w:t xml:space="preserve">LIKELIHOOD</w:t>
            </w:r>
          </w:p>
        </w:tc>
        <w:tc>
          <w:tcPr>
            <w:tcW w:type="dxa" w:w="1000"/>
            <w:tcBorders>
              <w:top w:val="single" w:color="DDDDDD" w:sz="2"/>
              <w:left w:val="single" w:color="DDDDDD" w:sz="2"/>
              <w:bottom w:val="single" w:color="DDDDDD" w:sz="2"/>
              <w:right w:val="single" w:color="DDDDDD" w:sz="2"/>
            </w:tcBorders>
            <w:shd w:fill="E8E4E0"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5A5A60"/>
                <w:sz w:val="17"/>
                <w:szCs w:val="17"/>
              </w:rPr>
              <w:t xml:space="preserve">IMPACT</w:t>
            </w:r>
          </w:p>
        </w:tc>
        <w:tc>
          <w:tcPr>
            <w:tcW w:type="dxa" w:w="4838"/>
            <w:tcBorders>
              <w:top w:val="single" w:color="DDDDDD" w:sz="2"/>
              <w:left w:val="single" w:color="DDDDDD" w:sz="2"/>
              <w:bottom w:val="single" w:color="DDDDDD" w:sz="2"/>
              <w:right w:val="single" w:color="DDDDDD" w:sz="2"/>
            </w:tcBorders>
            <w:shd w:fill="E8E4E0"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5A5A60"/>
                <w:sz w:val="17"/>
                <w:szCs w:val="17"/>
              </w:rPr>
              <w:t xml:space="preserve">MITIGATION IN PLACE</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Backtest vs live performance gap</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High</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High</w:t>
            </w:r>
          </w:p>
        </w:tc>
        <w:tc>
          <w:tcPr>
            <w:tcW w:type="dxa" w:w="48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XGBoost validation on live signals. PM approval gate before any position. Walk-forward validation on roadmap.</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Overfitting (signal parameters)</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Medium</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Medium</w:t>
            </w:r>
          </w:p>
        </w:tc>
        <w:tc>
          <w:tcPr>
            <w:tcW w:type="dxa" w:w="48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Three-year look-back. Six-indicator grid limits parameter space. Sharpe as objective function.</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Signal decay</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Medium</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Medium</w:t>
            </w:r>
          </w:p>
        </w:tc>
        <w:tc>
          <w:tcPr>
            <w:tcW w:type="dxa" w:w="48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Indicators re-optimised per strategy build. PM reviews signal performance at each approval.</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XGBoost model drift</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Medium</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Medium</w:t>
            </w:r>
          </w:p>
        </w:tc>
        <w:tc>
          <w:tcPr>
            <w:tcW w:type="dxa" w:w="48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Manual review when results appear anomalous. Automated drift detection on near-term roadmap.</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Concentration risk</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Medium</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High</w:t>
            </w:r>
          </w:p>
        </w:tc>
        <w:tc>
          <w:tcPr>
            <w:tcW w:type="dxa" w:w="48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Correlation matrix verification at optimisation stage. Sector screening in universe reduction.</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IBKR connectivity failure</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Low</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Medium</w:t>
            </w:r>
          </w:p>
        </w:tc>
        <w:tc>
          <w:tcPr>
            <w:tcW w:type="dxa" w:w="48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SQS queue buffers orders — they queue, not fail. SNS notification on completion.</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Simulation vs live execution gap</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Medium</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High</w:t>
            </w:r>
          </w:p>
        </w:tc>
        <w:tc>
          <w:tcPr>
            <w:tcW w:type="dxa" w:w="48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Full order flow tested in simulation. Live execution before first Founding Mandate client onboards.</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Lot rounding / mandate size</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Low</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Low–Med</w:t>
            </w:r>
          </w:p>
        </w:tc>
        <w:tc>
          <w:tcPr>
            <w:tcW w:type="dxa" w:w="48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Cash buffer absorbs rounding residual. Minimum mandate SGD 100,000+ recommended.</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Market liquidity at execution</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Low</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High</w:t>
            </w:r>
          </w:p>
        </w:tc>
        <w:tc>
          <w:tcPr>
            <w:tcW w:type="dxa" w:w="48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Minimum ADV threshold in universe screening. PM reviews current liquidity at approval.</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Market data outage</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Low</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Medium</w:t>
            </w:r>
          </w:p>
        </w:tc>
        <w:tc>
          <w:tcPr>
            <w:tcW w:type="dxa" w:w="48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Three years of history in RDS unaffected. Slack alert on download failure.</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Data quality (Yahoo Finance)</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Low</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Medium</w:t>
            </w:r>
          </w:p>
        </w:tc>
        <w:tc>
          <w:tcPr>
            <w:tcW w:type="dxa" w:w="48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Quality checks on ingestion. Corporate action adjustments applied. Bloomberg substitution available.</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FX rate accuracy</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Low</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Low</w:t>
            </w:r>
          </w:p>
        </w:tc>
        <w:tc>
          <w:tcPr>
            <w:tcW w:type="dxa" w:w="48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Daily FX rates fetched and stored. Position-level conversion. FX source configurable.</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Unauthorised action</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Low</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High</w:t>
            </w:r>
          </w:p>
        </w:tc>
        <w:tc>
          <w:tcPr>
            <w:tcW w:type="dxa" w:w="48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Three-role model enforced at application layer. Full audit trail. Infrastructure RBAC on roadmap.</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Platform unavailability</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Low</w:t>
            </w:r>
          </w:p>
        </w:tc>
        <w:tc>
          <w:tcPr>
            <w:tcW w:type="dxa" w:w="1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High</w:t>
            </w:r>
          </w:p>
        </w:tc>
        <w:tc>
          <w:tcPr>
            <w:tcW w:type="dxa" w:w="48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ECS on Fargate auto-restarts. RDS automated backups. SQS persists orders. Observability alerting on roadmap.</w:t>
            </w:r>
          </w:p>
        </w:tc>
      </w:tr>
    </w:tbl>
    <w:p>
      <w:pPr>
        <w:spacing w:after="0" w:before="0"/>
      </w:pPr>
      <w:r>
        <w:br w:type="page"/>
      </w:r>
    </w:p>
    <w:p>
      <w:pPr>
        <w:spacing w:after="40" w:before="280" w:line="276"/>
        <w:jc w:val="left"/>
      </w:pPr>
      <w:r>
        <w:rPr>
          <w:rFonts w:ascii="Arial" w:cs="Arial" w:eastAsia="Arial" w:hAnsi="Arial"/>
          <w:b/>
          <w:bCs/>
          <w:i w:val="false"/>
          <w:iCs w:val="false"/>
          <w:caps/>
          <w:color w:val="C8A96E"/>
          <w:spacing w:val="80"/>
          <w:sz w:val="14"/>
          <w:szCs w:val="14"/>
        </w:rPr>
        <w:t xml:space="preserve">3</w:t>
      </w:r>
    </w:p>
    <w:p>
      <w:pPr>
        <w:spacing w:after="80" w:before="0" w:line="276"/>
        <w:jc w:val="left"/>
      </w:pPr>
      <w:r>
        <w:rPr>
          <w:rFonts w:ascii="Arial" w:cs="Arial" w:eastAsia="Arial" w:hAnsi="Arial"/>
          <w:b/>
          <w:bCs/>
          <w:i w:val="false"/>
          <w:iCs w:val="false"/>
          <w:caps w:val="false"/>
          <w:color w:val="1A1A1F"/>
          <w:sz w:val="28"/>
          <w:szCs w:val="28"/>
        </w:rPr>
        <w:t xml:space="preserve">MODEL RISK</w:t>
      </w:r>
    </w:p>
    <w:p>
      <w:pPr>
        <w:spacing w:after="140" w:before="0" w:line="276"/>
        <w:jc w:val="left"/>
      </w:pPr>
      <w:r>
        <w:rPr>
          <w:rFonts w:ascii="Arial" w:cs="Arial" w:eastAsia="Arial" w:hAnsi="Arial"/>
          <w:b w:val="false"/>
          <w:bCs w:val="false"/>
          <w:i/>
          <w:iCs/>
          <w:caps w:val="false"/>
          <w:color w:val="9A9086"/>
          <w:sz w:val="20"/>
          <w:szCs w:val="20"/>
        </w:rPr>
        <w:t xml:space="preserve">The risk that model-generated signals do not perform in live conditions as they did in backtests.</w:t>
      </w:r>
    </w:p>
    <w:p>
      <w:pPr>
        <w:spacing w:after="60" w:before="180" w:line="276"/>
        <w:jc w:val="left"/>
      </w:pPr>
      <w:r>
        <w:rPr>
          <w:rFonts w:ascii="Arial" w:cs="Arial" w:eastAsia="Arial" w:hAnsi="Arial"/>
          <w:b/>
          <w:bCs/>
          <w:i w:val="false"/>
          <w:iCs w:val="false"/>
          <w:caps w:val="false"/>
          <w:color w:val="C8A96E"/>
          <w:sz w:val="18"/>
          <w:szCs w:val="18"/>
        </w:rPr>
        <w:t xml:space="preserve">THE BACKTEST TO LIVE GAP</w:t>
      </w:r>
    </w:p>
    <w:p>
      <w:pPr>
        <w:spacing w:after="100" w:before="0" w:line="276"/>
        <w:jc w:val="both"/>
      </w:pPr>
      <w:r>
        <w:rPr>
          <w:rFonts w:ascii="Arial" w:cs="Arial" w:eastAsia="Arial" w:hAnsi="Arial"/>
          <w:b w:val="false"/>
          <w:bCs w:val="false"/>
          <w:i w:val="false"/>
          <w:iCs w:val="false"/>
          <w:caps w:val="false"/>
          <w:color w:val="1A1A1F"/>
          <w:sz w:val="19"/>
          <w:szCs w:val="19"/>
        </w:rPr>
        <w:t xml:space="preserve">The most significant risk in any systematic strategy is the gap between backtest performance and live performance. Backtests are optimised on historical data. Live markets introduce conditions historical data may not have captured: regime changes, liquidity shifts, correlation breakdowns, and the market impact of the strategy itself.</w:t>
      </w:r>
    </w:p>
    <w:p>
      <w:pPr>
        <w:spacing w:after="100" w:before="0" w:line="276"/>
        <w:jc w:val="both"/>
      </w:pPr>
      <w:r>
        <w:rPr>
          <w:rFonts w:ascii="Arial" w:cs="Arial" w:eastAsia="Arial" w:hAnsi="Arial"/>
          <w:b w:val="false"/>
          <w:bCs w:val="false"/>
          <w:i w:val="false"/>
          <w:iCs w:val="false"/>
          <w:caps w:val="false"/>
          <w:color w:val="1A1A1F"/>
          <w:sz w:val="19"/>
          <w:szCs w:val="19"/>
        </w:rPr>
        <w:t xml:space="preserve">Vektor's structural response is the XGBoost signal validation layer: every signal is evaluated against current market conditions before it is presented to the portfolio manager. A signal that performed well in backtests but is assessed as low-confidence against current conditions is filtered before PM review.</w:t>
      </w:r>
    </w:p>
    <w:p>
      <w:pPr>
        <w:spacing w:after="60" w:before="180" w:line="276"/>
        <w:jc w:val="left"/>
      </w:pPr>
      <w:r>
        <w:rPr>
          <w:rFonts w:ascii="Arial" w:cs="Arial" w:eastAsia="Arial" w:hAnsi="Arial"/>
          <w:b/>
          <w:bCs/>
          <w:i w:val="false"/>
          <w:iCs w:val="false"/>
          <w:caps w:val="false"/>
          <w:color w:val="C8A96E"/>
          <w:sz w:val="18"/>
          <w:szCs w:val="18"/>
        </w:rPr>
        <w:t xml:space="preserve">OVERFITTING</w:t>
      </w:r>
    </w:p>
    <w:p>
      <w:pPr>
        <w:spacing w:after="100" w:before="0" w:line="276"/>
        <w:jc w:val="both"/>
      </w:pPr>
      <w:r>
        <w:rPr>
          <w:rFonts w:ascii="Arial" w:cs="Arial" w:eastAsia="Arial" w:hAnsi="Arial"/>
          <w:b w:val="false"/>
          <w:bCs w:val="false"/>
          <w:i w:val="false"/>
          <w:iCs w:val="false"/>
          <w:caps w:val="false"/>
          <w:color w:val="1A1A1F"/>
          <w:sz w:val="19"/>
          <w:szCs w:val="19"/>
        </w:rPr>
        <w:t xml:space="preserve">The grid search optimises technical indicator parameters against a three-year historical window. Optimised parameters may reflect historical noise rather than genuine signal. Mitigations: Sharpe ratio as objective function, six-indicator universe limiting parameter space, three-year window covering multiple market regimes. Formal walk-forward validation is on the near-term roadmap.</w:t>
      </w:r>
    </w:p>
    <w:p>
      <w:pPr>
        <w:spacing w:after="60" w:before="180" w:line="276"/>
        <w:jc w:val="left"/>
      </w:pPr>
      <w:r>
        <w:rPr>
          <w:rFonts w:ascii="Arial" w:cs="Arial" w:eastAsia="Arial" w:hAnsi="Arial"/>
          <w:b/>
          <w:bCs/>
          <w:i w:val="false"/>
          <w:iCs w:val="false"/>
          <w:caps w:val="false"/>
          <w:color w:val="C8A96E"/>
          <w:sz w:val="18"/>
          <w:szCs w:val="18"/>
        </w:rPr>
        <w:t xml:space="preserve">SIGNAL DECAY</w:t>
      </w:r>
    </w:p>
    <w:p>
      <w:pPr>
        <w:spacing w:after="100" w:before="0" w:line="276"/>
        <w:jc w:val="both"/>
      </w:pPr>
      <w:r>
        <w:rPr>
          <w:rFonts w:ascii="Arial" w:cs="Arial" w:eastAsia="Arial" w:hAnsi="Arial"/>
          <w:b w:val="false"/>
          <w:bCs w:val="false"/>
          <w:i w:val="false"/>
          <w:iCs w:val="false"/>
          <w:caps w:val="false"/>
          <w:color w:val="1A1A1F"/>
          <w:sz w:val="19"/>
          <w:szCs w:val="19"/>
        </w:rPr>
        <w:t xml:space="preserve">Technical indicators lose predictive power as market conditions change. Vektor's response: parameters are re-optimised at each strategy build, not fixed at initial setup. Rebalancing trigger detection is on the roadmap. Current practice: PM reviews signal performance against current market conditions at each strategy approval.</w:t>
      </w:r>
    </w:p>
    <w:p>
      <w:pPr>
        <w:spacing w:after="60" w:before="180" w:line="276"/>
        <w:jc w:val="left"/>
      </w:pPr>
      <w:r>
        <w:rPr>
          <w:rFonts w:ascii="Arial" w:cs="Arial" w:eastAsia="Arial" w:hAnsi="Arial"/>
          <w:b/>
          <w:bCs/>
          <w:i w:val="false"/>
          <w:iCs w:val="false"/>
          <w:caps w:val="false"/>
          <w:color w:val="C8A96E"/>
          <w:sz w:val="18"/>
          <w:szCs w:val="18"/>
        </w:rPr>
        <w:t xml:space="preserve">CONCENTRATION RISK</w:t>
      </w:r>
    </w:p>
    <w:p>
      <w:pPr>
        <w:spacing w:after="100" w:before="0" w:line="276"/>
        <w:jc w:val="both"/>
      </w:pPr>
      <w:r>
        <w:rPr>
          <w:rFonts w:ascii="Arial" w:cs="Arial" w:eastAsia="Arial" w:hAnsi="Arial"/>
          <w:b w:val="false"/>
          <w:bCs w:val="false"/>
          <w:i w:val="false"/>
          <w:iCs w:val="false"/>
          <w:caps w:val="false"/>
          <w:color w:val="1A1A1F"/>
          <w:sz w:val="19"/>
          <w:szCs w:val="19"/>
        </w:rPr>
        <w:t xml:space="preserve">Efficient frontier optimisation may produce concentrated allocations in instruments with correlated historical performance. Mitigation: correlation matrix verification is a required optimisation step, flagging high pairwise correlation before PM approval. Sector diversification screening applied in universe reduction.</w:t>
      </w:r>
    </w:p>
    <w:p>
      <w:pPr>
        <w:pBdr>
          <w:bottom w:val="single" w:color="D0CCCA" w:sz="4" w:space="2"/>
        </w:pBdr>
        <w:spacing w:after="80" w:before="120"/>
      </w:pPr>
    </w:p>
    <w:p>
      <w:pPr>
        <w:spacing w:after="40" w:before="280" w:line="276"/>
        <w:jc w:val="left"/>
      </w:pPr>
      <w:r>
        <w:rPr>
          <w:rFonts w:ascii="Arial" w:cs="Arial" w:eastAsia="Arial" w:hAnsi="Arial"/>
          <w:b/>
          <w:bCs/>
          <w:i w:val="false"/>
          <w:iCs w:val="false"/>
          <w:caps/>
          <w:color w:val="C8A96E"/>
          <w:spacing w:val="80"/>
          <w:sz w:val="14"/>
          <w:szCs w:val="14"/>
        </w:rPr>
        <w:t xml:space="preserve">4</w:t>
      </w:r>
    </w:p>
    <w:p>
      <w:pPr>
        <w:spacing w:after="80" w:before="0" w:line="276"/>
        <w:jc w:val="left"/>
      </w:pPr>
      <w:r>
        <w:rPr>
          <w:rFonts w:ascii="Arial" w:cs="Arial" w:eastAsia="Arial" w:hAnsi="Arial"/>
          <w:b/>
          <w:bCs/>
          <w:i w:val="false"/>
          <w:iCs w:val="false"/>
          <w:caps w:val="false"/>
          <w:color w:val="1A1A1F"/>
          <w:sz w:val="28"/>
          <w:szCs w:val="28"/>
        </w:rPr>
        <w:t xml:space="preserve">EXECUTION RISK</w:t>
      </w:r>
    </w:p>
    <w:p>
      <w:pPr>
        <w:spacing w:after="140" w:before="0" w:line="276"/>
        <w:jc w:val="left"/>
      </w:pPr>
      <w:r>
        <w:rPr>
          <w:rFonts w:ascii="Arial" w:cs="Arial" w:eastAsia="Arial" w:hAnsi="Arial"/>
          <w:b w:val="false"/>
          <w:bCs w:val="false"/>
          <w:i/>
          <w:iCs/>
          <w:caps w:val="false"/>
          <w:color w:val="9A9086"/>
          <w:sz w:val="20"/>
          <w:szCs w:val="20"/>
        </w:rPr>
        <w:t xml:space="preserve">The risk that approved positions are not executed as intended.</w:t>
      </w:r>
    </w:p>
    <w:p>
      <w:pPr>
        <w:spacing w:after="60" w:before="180" w:line="276"/>
        <w:jc w:val="left"/>
      </w:pPr>
      <w:r>
        <w:rPr>
          <w:rFonts w:ascii="Arial" w:cs="Arial" w:eastAsia="Arial" w:hAnsi="Arial"/>
          <w:b/>
          <w:bCs/>
          <w:i w:val="false"/>
          <w:iCs w:val="false"/>
          <w:caps w:val="false"/>
          <w:color w:val="C8A96E"/>
          <w:sz w:val="18"/>
          <w:szCs w:val="18"/>
        </w:rPr>
        <w:t xml:space="preserve">SIMULATION VS LIVE GAP</w:t>
      </w:r>
    </w:p>
    <w:p>
      <w:pPr>
        <w:spacing w:after="100" w:before="0" w:line="276"/>
        <w:jc w:val="both"/>
      </w:pPr>
      <w:r>
        <w:rPr>
          <w:rFonts w:ascii="Arial" w:cs="Arial" w:eastAsia="Arial" w:hAnsi="Arial"/>
          <w:b w:val="false"/>
          <w:bCs w:val="false"/>
          <w:i w:val="false"/>
          <w:iCs w:val="false"/>
          <w:caps w:val="false"/>
          <w:color w:val="1A1A1F"/>
          <w:sz w:val="19"/>
          <w:szCs w:val="19"/>
        </w:rPr>
        <w:t xml:space="preserve">The IBKR Gateway is currently connected to the IBKR simulation account. Simulation mode does not fully replicate live execution: fills are assumed at the requested price without market impact, partial fills do not occur, and liquidity is not modelled. Live execution will be activated before the first Founding Mandate client is onboarded — this is a defined trigger condition, not an open-ended roadmap item.</w:t>
      </w:r>
    </w:p>
    <w:p>
      <w:pPr>
        <w:spacing w:after="60" w:before="180" w:line="276"/>
        <w:jc w:val="left"/>
      </w:pPr>
      <w:r>
        <w:rPr>
          <w:rFonts w:ascii="Arial" w:cs="Arial" w:eastAsia="Arial" w:hAnsi="Arial"/>
          <w:b/>
          <w:bCs/>
          <w:i w:val="false"/>
          <w:iCs w:val="false"/>
          <w:caps w:val="false"/>
          <w:color w:val="C8A96E"/>
          <w:sz w:val="18"/>
          <w:szCs w:val="18"/>
        </w:rPr>
        <w:t xml:space="preserve">IBKR CONNECTIVITY FAILURE</w:t>
      </w:r>
    </w:p>
    <w:p>
      <w:pPr>
        <w:spacing w:after="100" w:before="0" w:line="276"/>
        <w:jc w:val="both"/>
      </w:pPr>
      <w:r>
        <w:rPr>
          <w:rFonts w:ascii="Arial" w:cs="Arial" w:eastAsia="Arial" w:hAnsi="Arial"/>
          <w:b w:val="false"/>
          <w:bCs w:val="false"/>
          <w:i w:val="false"/>
          <w:iCs w:val="false"/>
          <w:caps w:val="false"/>
          <w:color w:val="1A1A1F"/>
          <w:sz w:val="19"/>
          <w:szCs w:val="19"/>
        </w:rPr>
        <w:t xml:space="preserve">If the IBKR Gateway loses connectivity, the SQS queue buffers orders rather than failing them. Orders are processed when connectivity is restored. Slack notification on order completion means a failure to complete is visible immediately.</w:t>
      </w:r>
    </w:p>
    <w:p>
      <w:pPr>
        <w:spacing w:after="60" w:before="180" w:line="276"/>
        <w:jc w:val="left"/>
      </w:pPr>
      <w:r>
        <w:rPr>
          <w:rFonts w:ascii="Arial" w:cs="Arial" w:eastAsia="Arial" w:hAnsi="Arial"/>
          <w:b/>
          <w:bCs/>
          <w:i w:val="false"/>
          <w:iCs w:val="false"/>
          <w:caps w:val="false"/>
          <w:color w:val="C8A96E"/>
          <w:sz w:val="18"/>
          <w:szCs w:val="18"/>
        </w:rPr>
        <w:t xml:space="preserve">LOT ROUNDING AND MINIMUM MANDATE SIZE</w:t>
      </w:r>
    </w:p>
    <w:p>
      <w:pPr>
        <w:spacing w:after="100" w:before="0" w:line="276"/>
        <w:jc w:val="both"/>
      </w:pPr>
      <w:r>
        <w:rPr>
          <w:rFonts w:ascii="Arial" w:cs="Arial" w:eastAsia="Arial" w:hAnsi="Arial"/>
          <w:b w:val="false"/>
          <w:bCs w:val="false"/>
          <w:i w:val="false"/>
          <w:iCs w:val="false"/>
          <w:caps w:val="false"/>
          <w:color w:val="1A1A1F"/>
          <w:sz w:val="19"/>
          <w:szCs w:val="19"/>
        </w:rPr>
        <w:t xml:space="preserve">Share quantities must be whole numbers. The allocation calculation rounds down to the nearest lot size, producing a residual cash balance. At 99.94%+ efficiency in simulation testing, this residual is immaterial for typical mandate sizes. The practical minimum recommended mandate size for a ten-instrument SGX portfolio is SGD 100,000.</w:t>
      </w:r>
    </w:p>
    <w:p>
      <w:pPr>
        <w:pBdr>
          <w:bottom w:val="single" w:color="D0CCCA" w:sz="4" w:space="2"/>
        </w:pBdr>
        <w:spacing w:after="80" w:before="120"/>
      </w:pPr>
    </w:p>
    <w:p>
      <w:pPr>
        <w:spacing w:after="40" w:before="280" w:line="276"/>
        <w:jc w:val="left"/>
      </w:pPr>
      <w:r>
        <w:rPr>
          <w:rFonts w:ascii="Arial" w:cs="Arial" w:eastAsia="Arial" w:hAnsi="Arial"/>
          <w:b/>
          <w:bCs/>
          <w:i w:val="false"/>
          <w:iCs w:val="false"/>
          <w:caps/>
          <w:color w:val="C8A96E"/>
          <w:spacing w:val="80"/>
          <w:sz w:val="14"/>
          <w:szCs w:val="14"/>
        </w:rPr>
        <w:t xml:space="preserve">5</w:t>
      </w:r>
    </w:p>
    <w:p>
      <w:pPr>
        <w:spacing w:after="80" w:before="0" w:line="276"/>
        <w:jc w:val="left"/>
      </w:pPr>
      <w:r>
        <w:rPr>
          <w:rFonts w:ascii="Arial" w:cs="Arial" w:eastAsia="Arial" w:hAnsi="Arial"/>
          <w:b/>
          <w:bCs/>
          <w:i w:val="false"/>
          <w:iCs w:val="false"/>
          <w:caps w:val="false"/>
          <w:color w:val="1A1A1F"/>
          <w:sz w:val="28"/>
          <w:szCs w:val="28"/>
        </w:rPr>
        <w:t xml:space="preserve">DATA RISK</w:t>
      </w:r>
    </w:p>
    <w:p>
      <w:pPr>
        <w:spacing w:after="140" w:before="0" w:line="276"/>
        <w:jc w:val="left"/>
      </w:pPr>
      <w:r>
        <w:rPr>
          <w:rFonts w:ascii="Arial" w:cs="Arial" w:eastAsia="Arial" w:hAnsi="Arial"/>
          <w:b w:val="false"/>
          <w:bCs w:val="false"/>
          <w:i/>
          <w:iCs/>
          <w:caps w:val="false"/>
          <w:color w:val="9A9086"/>
          <w:sz w:val="20"/>
          <w:szCs w:val="20"/>
        </w:rPr>
        <w:t xml:space="preserve">The risk that market data used for optimisation or execution is inaccurate, unavailable, or unrepresentative.</w:t>
      </w:r>
    </w:p>
    <w:p>
      <w:pPr>
        <w:spacing w:after="60" w:before="180" w:line="276"/>
        <w:jc w:val="left"/>
      </w:pPr>
      <w:r>
        <w:rPr>
          <w:rFonts w:ascii="Arial" w:cs="Arial" w:eastAsia="Arial" w:hAnsi="Arial"/>
          <w:b/>
          <w:bCs/>
          <w:i w:val="false"/>
          <w:iCs w:val="false"/>
          <w:caps w:val="false"/>
          <w:color w:val="C8A96E"/>
          <w:sz w:val="18"/>
          <w:szCs w:val="18"/>
        </w:rPr>
        <w:t xml:space="preserve">MARKET DATA SOURCE DEPENDENCY</w:t>
      </w:r>
    </w:p>
    <w:p>
      <w:pPr>
        <w:spacing w:after="100" w:before="0" w:line="276"/>
        <w:jc w:val="both"/>
      </w:pPr>
      <w:r>
        <w:rPr>
          <w:rFonts w:ascii="Arial" w:cs="Arial" w:eastAsia="Arial" w:hAnsi="Arial"/>
          <w:b w:val="false"/>
          <w:bCs w:val="false"/>
          <w:i w:val="false"/>
          <w:iCs w:val="false"/>
          <w:caps w:val="false"/>
          <w:color w:val="1A1A1F"/>
          <w:sz w:val="19"/>
          <w:szCs w:val="19"/>
        </w:rPr>
        <w:t xml:space="preserve">Equity price history and live prices are currently sourced from Yahoo Finance — a widely used, generally reliable source for listed equity data, but a free provider without an enterprise SLA. Data quality issues do occur occasionally. Quality checks run on ingestion. A Bloomberg or institutional market data feed can be substituted without architectural changes — available as a Founding Mandate configuration option.</w:t>
      </w:r>
    </w:p>
    <w:p>
      <w:pPr>
        <w:spacing w:after="60" w:before="180" w:line="276"/>
        <w:jc w:val="left"/>
      </w:pPr>
      <w:r>
        <w:rPr>
          <w:rFonts w:ascii="Arial" w:cs="Arial" w:eastAsia="Arial" w:hAnsi="Arial"/>
          <w:b/>
          <w:bCs/>
          <w:i w:val="false"/>
          <w:iCs w:val="false"/>
          <w:caps w:val="false"/>
          <w:color w:val="C8A96E"/>
          <w:sz w:val="18"/>
          <w:szCs w:val="18"/>
        </w:rPr>
        <w:t xml:space="preserve">MARKET DATA OUTAGE</w:t>
      </w:r>
    </w:p>
    <w:p>
      <w:pPr>
        <w:spacing w:after="100" w:before="0" w:line="276"/>
        <w:jc w:val="both"/>
      </w:pPr>
      <w:r>
        <w:rPr>
          <w:rFonts w:ascii="Arial" w:cs="Arial" w:eastAsia="Arial" w:hAnsi="Arial"/>
          <w:b w:val="false"/>
          <w:bCs w:val="false"/>
          <w:i w:val="false"/>
          <w:iCs w:val="false"/>
          <w:caps w:val="false"/>
          <w:color w:val="1A1A1F"/>
          <w:sz w:val="19"/>
          <w:szCs w:val="19"/>
        </w:rPr>
        <w:t xml:space="preserve">If the daily price download fails, existing three years of historical data in RDS is unaffected. New strategy builds or signal re-optimisations would be deferred until the feed is restored. Slack notification on download completion means failure is visible immediately.</w:t>
      </w:r>
    </w:p>
    <w:p>
      <w:pPr>
        <w:spacing w:after="60" w:before="180" w:line="276"/>
        <w:jc w:val="left"/>
      </w:pPr>
      <w:r>
        <w:rPr>
          <w:rFonts w:ascii="Arial" w:cs="Arial" w:eastAsia="Arial" w:hAnsi="Arial"/>
          <w:b/>
          <w:bCs/>
          <w:i w:val="false"/>
          <w:iCs w:val="false"/>
          <w:caps w:val="false"/>
          <w:color w:val="C8A96E"/>
          <w:sz w:val="18"/>
          <w:szCs w:val="18"/>
        </w:rPr>
        <w:t xml:space="preserve">CORPORATE ACTION HANDLING</w:t>
      </w:r>
    </w:p>
    <w:p>
      <w:pPr>
        <w:spacing w:after="100" w:before="0" w:line="276"/>
        <w:jc w:val="both"/>
      </w:pPr>
      <w:r>
        <w:rPr>
          <w:rFonts w:ascii="Arial" w:cs="Arial" w:eastAsia="Arial" w:hAnsi="Arial"/>
          <w:b w:val="false"/>
          <w:bCs w:val="false"/>
          <w:i w:val="false"/>
          <w:iCs w:val="false"/>
          <w:caps w:val="false"/>
          <w:color w:val="1A1A1F"/>
          <w:sz w:val="19"/>
          <w:szCs w:val="19"/>
        </w:rPr>
        <w:t xml:space="preserve">Yahoo Finance applies adjusted close prices that account for most corporate actions. Edge cases may affect signal quality for affected instruments. The PM review is the appropriate point to assess any known corporate action effects.</w:t>
      </w:r>
    </w:p>
    <w:p>
      <w:pPr>
        <w:pBdr>
          <w:bottom w:val="single" w:color="D0CCCA" w:sz="4" w:space="2"/>
        </w:pBdr>
        <w:spacing w:after="80" w:before="120"/>
      </w:pPr>
    </w:p>
    <w:p>
      <w:pPr>
        <w:spacing w:after="40" w:before="280" w:line="276"/>
        <w:jc w:val="left"/>
      </w:pPr>
      <w:r>
        <w:rPr>
          <w:rFonts w:ascii="Arial" w:cs="Arial" w:eastAsia="Arial" w:hAnsi="Arial"/>
          <w:b/>
          <w:bCs/>
          <w:i w:val="false"/>
          <w:iCs w:val="false"/>
          <w:caps/>
          <w:color w:val="C8A96E"/>
          <w:spacing w:val="80"/>
          <w:sz w:val="14"/>
          <w:szCs w:val="14"/>
        </w:rPr>
        <w:t xml:space="preserve">6</w:t>
      </w:r>
    </w:p>
    <w:p>
      <w:pPr>
        <w:spacing w:after="80" w:before="0" w:line="276"/>
        <w:jc w:val="left"/>
      </w:pPr>
      <w:r>
        <w:rPr>
          <w:rFonts w:ascii="Arial" w:cs="Arial" w:eastAsia="Arial" w:hAnsi="Arial"/>
          <w:b/>
          <w:bCs/>
          <w:i w:val="false"/>
          <w:iCs w:val="false"/>
          <w:caps w:val="false"/>
          <w:color w:val="1A1A1F"/>
          <w:sz w:val="28"/>
          <w:szCs w:val="28"/>
        </w:rPr>
        <w:t xml:space="preserve">OPERATIONAL RISK</w:t>
      </w:r>
    </w:p>
    <w:p>
      <w:pPr>
        <w:spacing w:after="140" w:before="0" w:line="276"/>
        <w:jc w:val="left"/>
      </w:pPr>
      <w:r>
        <w:rPr>
          <w:rFonts w:ascii="Arial" w:cs="Arial" w:eastAsia="Arial" w:hAnsi="Arial"/>
          <w:b w:val="false"/>
          <w:bCs w:val="false"/>
          <w:i/>
          <w:iCs/>
          <w:caps w:val="false"/>
          <w:color w:val="9A9086"/>
          <w:sz w:val="20"/>
          <w:szCs w:val="20"/>
        </w:rPr>
        <w:t xml:space="preserve">The risk that platform operations introduce errors or failures that affect client outcomes.</w:t>
      </w:r>
    </w:p>
    <w:p>
      <w:pPr>
        <w:spacing w:after="60" w:before="180" w:line="276"/>
        <w:jc w:val="left"/>
      </w:pPr>
      <w:r>
        <w:rPr>
          <w:rFonts w:ascii="Arial" w:cs="Arial" w:eastAsia="Arial" w:hAnsi="Arial"/>
          <w:b/>
          <w:bCs/>
          <w:i w:val="false"/>
          <w:iCs w:val="false"/>
          <w:caps w:val="false"/>
          <w:color w:val="C8A96E"/>
          <w:sz w:val="18"/>
          <w:szCs w:val="18"/>
        </w:rPr>
        <w:t xml:space="preserve">HUMAN ERROR AT APPROVAL GATES</w:t>
      </w:r>
    </w:p>
    <w:p>
      <w:pPr>
        <w:spacing w:after="100" w:before="0" w:line="276"/>
        <w:jc w:val="both"/>
      </w:pPr>
      <w:r>
        <w:rPr>
          <w:rFonts w:ascii="Arial" w:cs="Arial" w:eastAsia="Arial" w:hAnsi="Arial"/>
          <w:b w:val="false"/>
          <w:bCs w:val="false"/>
          <w:i w:val="false"/>
          <w:iCs w:val="false"/>
          <w:caps w:val="false"/>
          <w:color w:val="1A1A1F"/>
          <w:sz w:val="19"/>
          <w:szCs w:val="19"/>
        </w:rPr>
        <w:t xml:space="preserve">Every capital-affecting action requires explicit human approval — which is the primary operational risk mitigation and also the source of a residual risk: human error at the gate itself. Mitigations: the complete strategy breakdown is visible at the approval screen, reducing undetected errors. The audit trail records every approval with PM identity and timestamp.</w:t>
      </w:r>
    </w:p>
    <w:p>
      <w:pPr>
        <w:spacing w:after="60" w:before="180" w:line="276"/>
        <w:jc w:val="left"/>
      </w:pPr>
      <w:r>
        <w:rPr>
          <w:rFonts w:ascii="Arial" w:cs="Arial" w:eastAsia="Arial" w:hAnsi="Arial"/>
          <w:b/>
          <w:bCs/>
          <w:i w:val="false"/>
          <w:iCs w:val="false"/>
          <w:caps w:val="false"/>
          <w:color w:val="C8A96E"/>
          <w:sz w:val="18"/>
          <w:szCs w:val="18"/>
        </w:rPr>
        <w:t xml:space="preserve">ROLE SEPARATION</w:t>
      </w:r>
    </w:p>
    <w:p>
      <w:pPr>
        <w:spacing w:after="100" w:before="0" w:line="276"/>
        <w:jc w:val="both"/>
      </w:pPr>
      <w:r>
        <w:rPr>
          <w:rFonts w:ascii="Arial" w:cs="Arial" w:eastAsia="Arial" w:hAnsi="Arial"/>
          <w:b w:val="false"/>
          <w:bCs w:val="false"/>
          <w:i w:val="false"/>
          <w:iCs w:val="false"/>
          <w:caps w:val="false"/>
          <w:color w:val="1A1A1F"/>
          <w:sz w:val="19"/>
          <w:szCs w:val="19"/>
        </w:rPr>
        <w:t xml:space="preserve">The three-role model separates research (Analyst), investment decisions (PM), and cash operations (Operations). An Analyst cannot approve strategies. Operations cannot initiate allocations. Infrastructure-level RBAC — enforcing this at the AWS IAM layer — is planned for the next prototype iteration.</w:t>
      </w:r>
    </w:p>
    <w:p>
      <w:pPr>
        <w:spacing w:after="60" w:before="180" w:line="276"/>
        <w:jc w:val="left"/>
      </w:pPr>
      <w:r>
        <w:rPr>
          <w:rFonts w:ascii="Arial" w:cs="Arial" w:eastAsia="Arial" w:hAnsi="Arial"/>
          <w:b/>
          <w:bCs/>
          <w:i w:val="false"/>
          <w:iCs w:val="false"/>
          <w:caps w:val="false"/>
          <w:color w:val="C8A96E"/>
          <w:sz w:val="18"/>
          <w:szCs w:val="18"/>
        </w:rPr>
        <w:t xml:space="preserve">PLATFORM UNAVAILABILITY</w:t>
      </w:r>
    </w:p>
    <w:p>
      <w:pPr>
        <w:spacing w:after="100" w:before="0" w:line="276"/>
        <w:jc w:val="both"/>
      </w:pPr>
      <w:r>
        <w:rPr>
          <w:rFonts w:ascii="Arial" w:cs="Arial" w:eastAsia="Arial" w:hAnsi="Arial"/>
          <w:b w:val="false"/>
          <w:bCs w:val="false"/>
          <w:i w:val="false"/>
          <w:iCs w:val="false"/>
          <w:caps w:val="false"/>
          <w:color w:val="1A1A1F"/>
          <w:sz w:val="19"/>
          <w:szCs w:val="19"/>
        </w:rPr>
        <w:t xml:space="preserve">ECS microservices on Fargate restart automatically on failure. RDS has automated daily backups. The SQS queue persists market orders through application restarts. No formal SLA is committed at the current stage. Production observability alerting is on the near-term roadmap.</w:t>
      </w:r>
    </w:p>
    <w:p>
      <w:pPr>
        <w:pBdr>
          <w:bottom w:val="single" w:color="D0CCCA" w:sz="4" w:space="2"/>
        </w:pBdr>
        <w:spacing w:after="80" w:before="120"/>
      </w:pPr>
    </w:p>
    <w:p>
      <w:pPr>
        <w:spacing w:after="40" w:before="280" w:line="276"/>
        <w:jc w:val="left"/>
      </w:pPr>
      <w:r>
        <w:rPr>
          <w:rFonts w:ascii="Arial" w:cs="Arial" w:eastAsia="Arial" w:hAnsi="Arial"/>
          <w:b/>
          <w:bCs/>
          <w:i w:val="false"/>
          <w:iCs w:val="false"/>
          <w:caps/>
          <w:color w:val="C8A96E"/>
          <w:spacing w:val="80"/>
          <w:sz w:val="14"/>
          <w:szCs w:val="14"/>
        </w:rPr>
        <w:t xml:space="preserve">7</w:t>
      </w:r>
    </w:p>
    <w:p>
      <w:pPr>
        <w:spacing w:after="80" w:before="0" w:line="276"/>
        <w:jc w:val="left"/>
      </w:pPr>
      <w:r>
        <w:rPr>
          <w:rFonts w:ascii="Arial" w:cs="Arial" w:eastAsia="Arial" w:hAnsi="Arial"/>
          <w:b/>
          <w:bCs/>
          <w:i w:val="false"/>
          <w:iCs w:val="false"/>
          <w:caps w:val="false"/>
          <w:color w:val="1A1A1F"/>
          <w:sz w:val="28"/>
          <w:szCs w:val="28"/>
        </w:rPr>
        <w:t xml:space="preserve">RISK MITIGATION ROADMAP</w:t>
      </w:r>
    </w:p>
    <w:p>
      <w:pPr>
        <w:spacing w:after="140" w:before="0" w:line="276"/>
        <w:jc w:val="left"/>
      </w:pPr>
      <w:r>
        <w:rPr>
          <w:rFonts w:ascii="Arial" w:cs="Arial" w:eastAsia="Arial" w:hAnsi="Arial"/>
          <w:b w:val="false"/>
          <w:bCs w:val="false"/>
          <w:i/>
          <w:iCs/>
          <w:caps w:val="false"/>
          <w:color w:val="9A9086"/>
          <w:sz w:val="20"/>
          <w:szCs w:val="20"/>
        </w:rPr>
        <w:t xml:space="preserve">Mitigations on the roadmap but not yet live — with defined trigger or condition for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38"/>
      </w:tblGrid>
      <w:tr>
        <w:tc>
          <w:tcPr>
            <w:tcW w:type="dxa" w:w="2400"/>
            <w:tcBorders>
              <w:top w:val="single" w:color="DDDDDD" w:sz="2"/>
              <w:left w:val="single" w:color="DDDDDD" w:sz="2"/>
              <w:bottom w:val="single" w:color="DDDDDD" w:sz="2"/>
              <w:right w:val="single" w:color="DDDDDD" w:sz="2"/>
            </w:tcBorders>
            <w:shd w:fill="E8E4E0"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5A5A60"/>
                <w:sz w:val="17"/>
                <w:szCs w:val="17"/>
              </w:rPr>
              <w:t xml:space="preserve">MITIGATION</w:t>
            </w:r>
          </w:p>
        </w:tc>
        <w:tc>
          <w:tcPr>
            <w:tcW w:type="dxa" w:w="3000"/>
            <w:tcBorders>
              <w:top w:val="single" w:color="DDDDDD" w:sz="2"/>
              <w:left w:val="single" w:color="DDDDDD" w:sz="2"/>
              <w:bottom w:val="single" w:color="DDDDDD" w:sz="2"/>
              <w:right w:val="single" w:color="DDDDDD" w:sz="2"/>
            </w:tcBorders>
            <w:shd w:fill="E8E4E0"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5A5A60"/>
                <w:sz w:val="17"/>
                <w:szCs w:val="17"/>
              </w:rPr>
              <w:t xml:space="preserve">RISK CATEGORY ADDRESSED</w:t>
            </w:r>
          </w:p>
        </w:tc>
        <w:tc>
          <w:tcPr>
            <w:tcW w:type="dxa" w:w="4238"/>
            <w:tcBorders>
              <w:top w:val="single" w:color="DDDDDD" w:sz="2"/>
              <w:left w:val="single" w:color="DDDDDD" w:sz="2"/>
              <w:bottom w:val="single" w:color="DDDDDD" w:sz="2"/>
              <w:right w:val="single" w:color="DDDDDD" w:sz="2"/>
            </w:tcBorders>
            <w:shd w:fill="E8E4E0"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5A5A60"/>
                <w:sz w:val="17"/>
                <w:szCs w:val="17"/>
              </w:rPr>
              <w:t xml:space="preserve">TRIGGER / CONDITION</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Live IBKR execution</w:t>
            </w:r>
          </w:p>
        </w:tc>
        <w:tc>
          <w:tcPr>
            <w:tcW w:type="dxa" w:w="3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Execution — simulation vs live gap</w:t>
            </w:r>
          </w:p>
        </w:tc>
        <w:tc>
          <w:tcPr>
            <w:tcW w:type="dxa" w:w="4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Before first Founding Mandate client onboards</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Walk-forward validation</w:t>
            </w:r>
          </w:p>
        </w:tc>
        <w:tc>
          <w:tcPr>
            <w:tcW w:type="dxa" w:w="3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Model — overfitting and backtest-to-live gap</w:t>
            </w:r>
          </w:p>
        </w:tc>
        <w:tc>
          <w:tcPr>
            <w:tcW w:type="dxa" w:w="4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After live track record of sufficient length established</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Automated drift detection</w:t>
            </w:r>
          </w:p>
        </w:tc>
        <w:tc>
          <w:tcPr>
            <w:tcW w:type="dxa" w:w="3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Model — XGBoost model drift</w:t>
            </w:r>
          </w:p>
        </w:tc>
        <w:tc>
          <w:tcPr>
            <w:tcW w:type="dxa" w:w="4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As part of production observability implementation</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CloudWatch alerting</w:t>
            </w:r>
          </w:p>
        </w:tc>
        <w:tc>
          <w:tcPr>
            <w:tcW w:type="dxa" w:w="3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Operational — platform unavailability, data outage</w:t>
            </w:r>
          </w:p>
        </w:tc>
        <w:tc>
          <w:tcPr>
            <w:tcW w:type="dxa" w:w="4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Before production environment promotion</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Infrastructure-level RBAC</w:t>
            </w:r>
          </w:p>
        </w:tc>
        <w:tc>
          <w:tcPr>
            <w:tcW w:type="dxa" w:w="3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Operational — role separation</w:t>
            </w:r>
          </w:p>
        </w:tc>
        <w:tc>
          <w:tcPr>
            <w:tcW w:type="dxa" w:w="4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Next prototype iteration</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Bloomberg / institutional data feed</w:t>
            </w:r>
          </w:p>
        </w:tc>
        <w:tc>
          <w:tcPr>
            <w:tcW w:type="dxa" w:w="3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Data — market data source reliability</w:t>
            </w:r>
          </w:p>
        </w:tc>
        <w:tc>
          <w:tcPr>
            <w:tcW w:type="dxa" w:w="4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Available as configuration for Founding Mandate partners</w:t>
            </w:r>
          </w:p>
        </w:tc>
      </w:tr>
    </w:tbl>
    <w:p>
      <w:pPr>
        <w:spacing w:after="0" w:before="0"/>
      </w:pPr>
      <w:r>
        <w:br w:type="page"/>
      </w:r>
    </w:p>
    <w:p>
      <w:pPr>
        <w:spacing w:after="40" w:before="280" w:line="276"/>
        <w:jc w:val="left"/>
      </w:pPr>
      <w:r>
        <w:rPr>
          <w:rFonts w:ascii="Arial" w:cs="Arial" w:eastAsia="Arial" w:hAnsi="Arial"/>
          <w:b/>
          <w:bCs/>
          <w:i w:val="false"/>
          <w:iCs w:val="false"/>
          <w:caps/>
          <w:color w:val="C8A96E"/>
          <w:spacing w:val="80"/>
          <w:sz w:val="14"/>
          <w:szCs w:val="14"/>
        </w:rPr>
        <w:t xml:space="preserve">8</w:t>
      </w:r>
    </w:p>
    <w:p>
      <w:pPr>
        <w:spacing w:after="80" w:before="0" w:line="276"/>
        <w:jc w:val="left"/>
      </w:pPr>
      <w:r>
        <w:rPr>
          <w:rFonts w:ascii="Arial" w:cs="Arial" w:eastAsia="Arial" w:hAnsi="Arial"/>
          <w:b/>
          <w:bCs/>
          <w:i w:val="false"/>
          <w:iCs w:val="false"/>
          <w:caps w:val="false"/>
          <w:color w:val="1A1A1F"/>
          <w:sz w:val="28"/>
          <w:szCs w:val="28"/>
        </w:rPr>
        <w:t xml:space="preserve">CONCLUSION</w:t>
      </w:r>
    </w:p>
    <w:p>
      <w:pPr>
        <w:spacing w:after="100" w:before="0" w:line="276"/>
        <w:jc w:val="both"/>
      </w:pPr>
      <w:r>
        <w:rPr>
          <w:rFonts w:ascii="Arial" w:cs="Arial" w:eastAsia="Arial" w:hAnsi="Arial"/>
          <w:b w:val="false"/>
          <w:bCs w:val="false"/>
          <w:i w:val="false"/>
          <w:iCs w:val="false"/>
          <w:caps w:val="false"/>
          <w:color w:val="1A1A1F"/>
          <w:sz w:val="19"/>
          <w:szCs w:val="19"/>
        </w:rPr>
        <w:t xml:space="preserve">The risks described in this paper are real. Some are inherent to systematic portfolio management regardless of platform. Some are specific to the current stage of Vektor's development. The mitigations described are genuine — either structurally enforced by the platform architecture or explicitly on the roadmap with defined trigger conditions.</w:t>
      </w:r>
    </w:p>
    <w:p>
      <w:pPr>
        <w:spacing w:after="100" w:before="0" w:line="276"/>
        <w:jc w:val="both"/>
      </w:pPr>
      <w:r>
        <w:rPr>
          <w:rFonts w:ascii="Arial" w:cs="Arial" w:eastAsia="Arial" w:hAnsi="Arial"/>
          <w:b w:val="false"/>
          <w:bCs w:val="false"/>
          <w:i w:val="false"/>
          <w:iCs w:val="false"/>
          <w:caps w:val="false"/>
          <w:color w:val="1A1A1F"/>
          <w:sz w:val="19"/>
          <w:szCs w:val="19"/>
        </w:rPr>
        <w:t xml:space="preserve">The Founding Mandate is a partnership in which both parties are building toward the same outcome — a platform that performs as described, with the governance and controls that institutional management requires. Founding Mandate partners are invited to raise any risk they do not see addressed in this document. That conversation is part of the partnership.</w:t>
      </w:r>
    </w:p>
    <w:p>
      <w:pPr>
        <w:pBdr>
          <w:bottom w:val="single" w:color="D0CCCA" w:sz="4" w:space="2"/>
        </w:pBdr>
        <w:spacing w:after="80" w:before="200"/>
      </w:pPr>
    </w:p>
    <w:p>
      <w:pPr>
        <w:spacing w:after="60" w:before="0" w:line="276"/>
        <w:jc w:val="both"/>
      </w:pPr>
      <w:r>
        <w:rPr>
          <w:rFonts w:ascii="Arial" w:cs="Arial" w:eastAsia="Arial" w:hAnsi="Arial"/>
          <w:b w:val="false"/>
          <w:bCs w:val="false"/>
          <w:i/>
          <w:iCs/>
          <w:caps w:val="false"/>
          <w:color w:val="9A9086"/>
          <w:sz w:val="16"/>
          <w:szCs w:val="16"/>
        </w:rPr>
        <w:t xml:space="preserve">For compliance and audit trail architecture, see WP-06. For AI and ML governance, see WP-08. For technical infrastructure, see WP-07. All documents at investpuppy.com.</w:t>
      </w:r>
    </w:p>
    <w:p>
      <w:pPr>
        <w:spacing w:after="60" w:before="0" w:line="276"/>
        <w:jc w:val="center"/>
      </w:pPr>
      <w:r>
        <w:rPr>
          <w:rFonts w:ascii="Arial" w:cs="Arial" w:eastAsia="Arial" w:hAnsi="Arial"/>
          <w:b w:val="false"/>
          <w:bCs w:val="false"/>
          <w:i w:val="false"/>
          <w:iCs w:val="false"/>
          <w:caps w:val="false"/>
          <w:color w:val="9A9086"/>
          <w:sz w:val="15"/>
          <w:szCs w:val="15"/>
        </w:rPr>
        <w:t xml:space="preserve">investpuppy.com  ·  contact@investpuppy.com  ·  IP-WP-RISK-260501-1.0  ·  Copyright 2026 InvestPuppy</w:t>
      </w:r>
    </w:p>
    <w:sectPr>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888884"/>
      </w:pBdr>
      <w:tabs>
        <w:tab w:val="right" w:pos="9638"/>
      </w:tabs>
      <w:spacing w:before="0" w:after="0"/>
    </w:pPr>
    <w:r>
      <w:drawing>
        <wp:inline xmlns:a="http://schemas.openxmlformats.org/drawingml/2006/main" xmlns:pic="http://schemas.openxmlformats.org/drawingml/2006/picture">
          <wp:extent cx="1008000" cy="825431"/>
          <wp:docPr id="1" name="Picture 1"/>
          <wp:cNvGraphicFramePr>
            <a:graphicFrameLocks noChangeAspect="1"/>
          </wp:cNvGraphicFramePr>
          <a:graphic>
            <a:graphicData uri="http://schemas.openxmlformats.org/drawingml/2006/picture">
              <pic:pic>
                <pic:nvPicPr>
                  <pic:cNvPr id="0" name="IPHorizontalInvClear.png"/>
                  <pic:cNvPicPr/>
                </pic:nvPicPr>
                <pic:blipFill>
                  <a:blip r:embed="rId1"/>
                  <a:stretch>
                    <a:fillRect/>
                  </a:stretch>
                </pic:blipFill>
                <pic:spPr>
                  <a:xfrm>
                    <a:off x="0" y="0"/>
                    <a:ext cx="1008000" cy="825431"/>
                  </a:xfrm>
                  <a:prstGeom prst="rect"/>
                </pic:spPr>
              </pic:pic>
            </a:graphicData>
          </a:graphic>
        </wp:inline>
      </w:drawing>
    </w:r>
    <w:r>
      <w:tab/>
    </w:r>
    <w:r>
      <w:rPr>
        <w:sz w:val="11"/>
        <w:color w:val="666660"/>
      </w:rPr>
      <w:t>investpuppy.com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&amp; Limitation Disclosure</dc:title>
  <dc:creator>InvestPuppy</dc:creator>
  <cp:lastModifiedBy>Un-named</cp:lastModifiedBy>
  <cp:revision>1</cp:revision>
  <dcterms:created xsi:type="dcterms:W3CDTF">2026-05-06T02:04:20.816Z</dcterms:created>
  <dcterms:modified xsi:type="dcterms:W3CDTF">2026-05-06T02:04:20.816Z</dcterms:modified>
</cp:coreProperties>
</file>

<file path=docProps/custom.xml><?xml version="1.0" encoding="utf-8"?>
<Properties xmlns="http://schemas.openxmlformats.org/officeDocument/2006/custom-properties" xmlns:vt="http://schemas.openxmlformats.org/officeDocument/2006/docPropsVTypes"/>
</file>