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4"/>
        </w:rPr>
        <w:t>实验2  数据看板的设计与实现</w:t>
      </w:r>
    </w:p>
    <w:p>
      <w:pPr>
        <w:jc w:val="center"/>
      </w:pPr>
      <w:r>
        <w:rPr>
          <w:rFonts w:ascii="Times New Roman" w:hAnsi="Times New Roman" w:eastAsia="楷体"/>
          <w:b w:val="0"/>
          <w:color w:val="555555"/>
          <w:sz w:val="26"/>
        </w:rPr>
        <w:t>—— 基于 Streamlit + Pandas + Plotly 的校园一卡通消费数据看板</w:t>
      </w:r>
    </w:p>
    <w:p>
      <w:pPr>
        <w:pStyle w:val="Heading1"/>
      </w:pPr>
      <w:r>
        <w:rPr>
          <w:rFonts w:ascii="Times New Roman" w:hAnsi="Times New Roman" w:eastAsia="黑体"/>
          <w:b/>
          <w:color w:val="1F3B63"/>
          <w:sz w:val="32"/>
        </w:rPr>
        <w:t>一、实验名称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数据看板的设计与实现</w:t>
      </w:r>
    </w:p>
    <w:p>
      <w:pPr>
        <w:pStyle w:val="Heading1"/>
      </w:pPr>
      <w:r>
        <w:rPr>
          <w:rFonts w:ascii="Times New Roman" w:hAnsi="Times New Roman" w:eastAsia="黑体"/>
          <w:b/>
          <w:color w:val="1F3B63"/>
          <w:sz w:val="32"/>
        </w:rPr>
        <w:t>二、实验目的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掌握数据看板的基本概念、核心功能与应用场景，理解数据可视化、数据大屏、实时看板的区别与联系；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熟悉看板设计原则与布局规范（视觉层级、色彩搭配、图表选型、信息降噪、适配布局），能够依据业务需求规划看板结构；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学会依据数据特征选择适配图表（数据卡片、柱状图、折线图、饼图、仪表盘等），实现数据的直观展示与多维分析；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独立完成从需求分析、版面设计、数据处理到看板落地的完整流程，具备基础的数据监控与分析能力；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理解静态看板与动态实时看板的差异，掌握数据刷新、联动交互、预警监控等功能的实现原理。</w:t>
      </w:r>
    </w:p>
    <w:p>
      <w:pPr>
        <w:pStyle w:val="Heading1"/>
      </w:pPr>
      <w:r>
        <w:rPr>
          <w:rFonts w:ascii="Times New Roman" w:hAnsi="Times New Roman" w:eastAsia="黑体"/>
          <w:b/>
          <w:color w:val="1F3B63"/>
          <w:sz w:val="32"/>
        </w:rPr>
        <w:t>三、实验环境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类别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配置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硬件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个人计算机（Windows 11）、网络环境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编辑器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VS Code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开发语言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Python 3.11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核心依赖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Streamlit 1.66 / Pandas 3.1 / Plotly 7.1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辅助工具</w:t>
            </w:r>
          </w:p>
        </w:tc>
        <w:tc>
          <w:tcPr>
            <w:tcW w:type="dxa" w:w="737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Chrome DevTools Protocol（自动化截图）、Matplotlib（版面草图）、python-docx（报告生成）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1F3B63"/>
          <w:sz w:val="32"/>
        </w:rPr>
        <w:t>四、需求分析与版面设计（基础任务1）</w:t>
      </w:r>
    </w:p>
    <w:p>
      <w:pPr>
        <w:pStyle w:val="Heading2"/>
      </w:pPr>
      <w:r>
        <w:rPr>
          <w:rFonts w:ascii="Times New Roman" w:hAnsi="Times New Roman" w:eastAsia="黑体"/>
          <w:b/>
          <w:color w:val="1F3B63"/>
          <w:sz w:val="28"/>
        </w:rPr>
        <w:t>4.1 业务场景与核心需求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本实验选择「校园一卡通消费数据」作为看板业务场景，面向学校后勤与学工部门，统计周期为 2025 秋季学期（2025-09-01 ~ 2025-12-31）。看板需要回答三类业务问题：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钱花在哪：全校消费总额、笔数、活跃人数等总量指标如何？（数据概览区）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结构如何：各学院、各消费类型、各场景、各时段的消费分布与对比？（维度统计区）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趋势与异常：每日消费走势如何？消费高峰集中在何时？是否存在异常波动需要预警？（趋势分析区）</w:t>
      </w:r>
    </w:p>
    <w:p>
      <w:pPr>
        <w:pStyle w:val="Heading2"/>
      </w:pPr>
      <w:r>
        <w:rPr>
          <w:rFonts w:ascii="Times New Roman" w:hAnsi="Times New Roman" w:eastAsia="黑体"/>
          <w:b/>
          <w:color w:val="1F3B63"/>
          <w:sz w:val="28"/>
        </w:rPr>
        <w:t>4.2 四大模块布局规划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模块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内容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对应图表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数据概览区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核心指标卡片：消费总额 / 笔数 / 活跃人数 / 人均 / 日均 / 环比增长率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KPI 数据卡片 ×6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维度统计区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学院对比、类型结构、场景排行、时段分布、支付方式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柱状图、环形图、条形排行榜、双轴组合图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趋势分析区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每日消费趋势、星期×小时热力、学院雷达、人均目标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折线图、热力图、雷达图、仪表盘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明细数据区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清洗后消费流水明细，支持筛选与导出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交互式数据表格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1F3B63"/>
          <w:sz w:val="28"/>
        </w:rPr>
        <w:t>4.3 配色方案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用途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颜色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主色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#2B6CFF 科技蓝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标题强调、KPI 高亮、链接色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辅助色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#20C997 青绿 / #FFD43B 琥珀 / #FF4D6D 警示红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正向指标 / 中性图表 / 预警提示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背景色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#0D1424 深空黑（暗色）/ #F7F9FC 云白（亮色）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暗色科技风为主，亮色简约风可一键切换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正文色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#EAF2FF / #8FA8CC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主文字 / 次要说明，保证对比度</w:t>
            </w:r>
          </w:p>
        </w:tc>
      </w:tr>
    </w:tbl>
    <w:p>
      <w:pPr>
        <w:pStyle w:val="Heading2"/>
      </w:pPr>
      <w:r>
        <w:rPr>
          <w:rFonts w:ascii="Times New Roman" w:hAnsi="Times New Roman" w:eastAsia="黑体"/>
          <w:b/>
          <w:color w:val="1F3B63"/>
          <w:sz w:val="28"/>
        </w:rPr>
        <w:t>4.4 版面草图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8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sket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8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666666"/>
          <w:sz w:val="21"/>
        </w:rPr>
        <w:t>图1  看板版面草图（左侧控制台 + 右侧三大图表区，底部为明细数据区）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布局采用 Streamlit 经典「侧边栏 + 主区」结构：侧边栏承载全部筛选与配置（时间、维度、阈值、主题、实时开关），主区按「概览 → 维度 → 趋势 → 明细」自上而下组织，符合用户从总览到细节的阅读动线；整页采用栅格化双列/三列卡片布局，保证信息密度与留白的平衡。</w:t>
      </w:r>
    </w:p>
    <w:p>
      <w:pPr>
        <w:pStyle w:val="Heading1"/>
      </w:pPr>
      <w:r>
        <w:rPr>
          <w:rFonts w:ascii="Times New Roman" w:hAnsi="Times New Roman" w:eastAsia="黑体"/>
          <w:b/>
          <w:color w:val="1F3B63"/>
          <w:sz w:val="32"/>
        </w:rPr>
        <w:t>五、实验数据准备与预处理（基础任务2）</w:t>
      </w:r>
    </w:p>
    <w:p>
      <w:pPr>
        <w:pStyle w:val="Heading2"/>
      </w:pPr>
      <w:r>
        <w:rPr>
          <w:rFonts w:ascii="Times New Roman" w:hAnsi="Times New Roman" w:eastAsia="黑体"/>
          <w:b/>
          <w:color w:val="1F3B63"/>
          <w:sz w:val="28"/>
        </w:rPr>
        <w:t>5.1 模拟数据生成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由于真实一卡通数据不可获取，编写 generate_data.py 按真实作息规律生成模拟数据：4 个校区 × 10 个学院 × 420 名学生，覆盖早餐（7-9 点）、午餐（11-13 点）、晚餐（17-19 点）三个消费高峰，周末消费量降至 70%，并叠加噪声扰动。共生成 6040 条原始流水，同时人为注入三类脏数据用于演练预处理：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重复记录 54 条（完全重复流水）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空值 61 处（消费场景、支付方式字段随机缺失）</w:t>
      </w:r>
    </w:p>
    <w:p>
      <w:pPr>
        <w:pStyle w:val="ListBullet"/>
      </w:pPr>
      <w:r>
        <w:rPr>
          <w:rFonts w:ascii="Times New Roman" w:hAnsi="Times New Roman" w:eastAsia="宋体"/>
          <w:b w:val="0"/>
          <w:sz w:val="24"/>
        </w:rPr>
        <w:t>异常值 20 条（单笔 -999 或 99999 元、学期外日期）</w:t>
      </w:r>
    </w:p>
    <w:p>
      <w:pPr>
        <w:pStyle w:val="Heading2"/>
      </w:pPr>
      <w:r>
        <w:rPr>
          <w:rFonts w:ascii="Times New Roman" w:hAnsi="Times New Roman" w:eastAsia="黑体"/>
          <w:b/>
          <w:color w:val="1F3B63"/>
          <w:sz w:val="28"/>
        </w:rPr>
        <w:t>5.2 预处理流程与结果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preprocess.py 按「去重 → 空值处理 → 异常值剔除 → 维度整理」四步清洗：重复流水按全字段去重；文本空值按众数填补；金额异常值采用业务规则（0 &lt; 金额 ≤ 500 元）结合 IQR 法双重过滤；随后派生日期、小时、星期、时段、单笔等级等统计维度。清洗结果如下：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记录数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原始数据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6040 条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含 54 条重复、61 处空值、20 条异常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去重后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5986 条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剔除完全重复流水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空值填补后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5986 条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文本字段众数填补，无记录删除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异常剔除后（最终）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5905 条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剔除金额/日期异常，保留率 97.76%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清洗后的数据保存为 data/clean_campus_card_data.csv（UTF-8-SIG 编码），作为看板的唯一数据源。</w:t>
      </w:r>
    </w:p>
    <w:p>
      <w:pPr>
        <w:pStyle w:val="Heading1"/>
      </w:pPr>
      <w:r>
        <w:rPr>
          <w:rFonts w:ascii="Times New Roman" w:hAnsi="Times New Roman" w:eastAsia="黑体"/>
          <w:b/>
          <w:color w:val="1F3B63"/>
          <w:sz w:val="32"/>
        </w:rPr>
        <w:t>六、看板实现（基础任务3/4 + 进阶 + 扩展）</w:t>
      </w:r>
    </w:p>
    <w:p>
      <w:pPr>
        <w:pStyle w:val="Heading2"/>
      </w:pPr>
      <w:r>
        <w:rPr>
          <w:rFonts w:ascii="Times New Roman" w:hAnsi="Times New Roman" w:eastAsia="黑体"/>
          <w:b/>
          <w:color w:val="1F3B63"/>
          <w:sz w:val="28"/>
        </w:rPr>
        <w:t>6.1 技术选型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采用 Streamlit 作为看板框架（纯 Python、组件生态完善、自带响应式布局），Pandas 负责数据计算与筛选联动，Plotly Graph Objects 手写图表工厂实现 10 类图表组件并统一注入主题色，CSS 自定义设计系统控制卡片、字号、间距与动画。</w:t>
      </w:r>
    </w:p>
    <w:p>
      <w:pPr>
        <w:pStyle w:val="Heading2"/>
      </w:pPr>
      <w:r>
        <w:rPr>
          <w:rFonts w:ascii="Times New Roman" w:hAnsi="Times New Roman" w:eastAsia="黑体"/>
          <w:b/>
          <w:color w:val="1F3B63"/>
          <w:sz w:val="28"/>
        </w:rPr>
        <w:t>6.2 任务完成清单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20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层级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任务</w:t>
            </w:r>
          </w:p>
        </w:tc>
        <w:tc>
          <w:tcPr>
            <w:tcW w:type="dxa" w:w="493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完成情况与实现要点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基础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任务1 需求分析与版面设计</w:t>
            </w:r>
          </w:p>
        </w:tc>
        <w:tc>
          <w:tcPr>
            <w:tcW w:type="dxa" w:w="493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✔ 四大模块规划 + 暗色科技风配色 + 版面草图（图1）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基础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任务2 数据准备与预处理</w:t>
            </w:r>
          </w:p>
        </w:tc>
        <w:tc>
          <w:tcPr>
            <w:tcW w:type="dxa" w:w="493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✔ 6040 条模拟流水，清洗至 5905 条（保留率 97.76%）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基础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任务3 基础可视化图表</w:t>
            </w:r>
          </w:p>
        </w:tc>
        <w:tc>
          <w:tcPr>
            <w:tcW w:type="dxa" w:w="493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✔ KPI 卡片 ×6、柱状图、折线图、环形图（超过 3 种要求）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基础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任务4 静态看板整合</w:t>
            </w:r>
          </w:p>
        </w:tc>
        <w:tc>
          <w:tcPr>
            <w:tcW w:type="dxa" w:w="493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✔ 统一 CSS 设计系统、圆角卡片、视觉层级、间距字号统一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基础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任务5 结果验证与总结</w:t>
            </w:r>
          </w:p>
        </w:tc>
        <w:tc>
          <w:tcPr>
            <w:tcW w:type="dxa" w:w="493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✔ 8 张自动化截图 + 问题清单（第八节）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进阶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进阶1 动态视觉效果</w:t>
            </w:r>
          </w:p>
        </w:tc>
        <w:tc>
          <w:tcPr>
            <w:tcW w:type="dxa" w:w="493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✔ KPI 数值滚动动画、组件渐入动画、图表 hover 提示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进阶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进阶2 图表联动与筛选</w:t>
            </w:r>
          </w:p>
        </w:tc>
        <w:tc>
          <w:tcPr>
            <w:tcW w:type="dxa" w:w="493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✔ 五维筛选联动；点击柱状图直接下钻至对应学院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进阶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进阶3 多维度分析可视化</w:t>
            </w:r>
          </w:p>
        </w:tc>
        <w:tc>
          <w:tcPr>
            <w:tcW w:type="dxa" w:w="493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✔ 排行榜、热力图、雷达图、目标仪表盘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扩展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扩展1 实时数据看板</w:t>
            </w:r>
          </w:p>
        </w:tc>
        <w:tc>
          <w:tcPr>
            <w:tcW w:type="dxa" w:w="493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✔ 实时模式开关 + 模拟动态数据流 + 秒级自动刷新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扩展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扩展2 数据预警监控</w:t>
            </w:r>
          </w:p>
        </w:tc>
        <w:tc>
          <w:tcPr>
            <w:tcW w:type="dxa" w:w="493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✔ 双阈值滑块，超限触发红色预警条 + KPI 变色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扩展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扩展3 大屏与移动端适配</w:t>
            </w:r>
          </w:p>
        </w:tc>
        <w:tc>
          <w:tcPr>
            <w:tcW w:type="dxa" w:w="493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✔ 2560px 大屏布局 + 430px 移动端单列适配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扩展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扩展4 统计分析与报告导出</w:t>
            </w:r>
          </w:p>
        </w:tc>
        <w:tc>
          <w:tcPr>
            <w:tcW w:type="dxa" w:w="493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✔ CSV/Excel 一键导出 + 自动生成 Markdown 分析结论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扩展</w:t>
            </w:r>
          </w:p>
        </w:tc>
        <w:tc>
          <w:tcPr>
            <w:tcW w:type="dxa" w:w="3118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扩展5 个性化定制与创新</w:t>
            </w:r>
          </w:p>
        </w:tc>
        <w:tc>
          <w:tcPr>
            <w:tcW w:type="dxa" w:w="4932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✔ 暗/亮双主题切换、图表钻取、URL 参数直达演示状态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1F3B63"/>
          <w:sz w:val="32"/>
        </w:rPr>
        <w:t>七、看板成果展示（基础任务5 · 截图）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overview-dark-fo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666666"/>
          <w:sz w:val="21"/>
        </w:rPr>
        <w:t>图2  暗色科技风 · 首屏（预警阈值正常时显示运行正常徽标）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overview-dark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666666"/>
          <w:sz w:val="21"/>
        </w:rPr>
        <w:t>图3  暗色科技风 · 整页（概览/维度/趋势/明细四大区域完整形态）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8362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ight-the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666666"/>
          <w:sz w:val="21"/>
        </w:rPr>
        <w:t>图4  亮色简约风主题（扩展5：一键主题切换）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rilldown-colle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666666"/>
          <w:sz w:val="21"/>
        </w:rPr>
        <w:t>图5  图表联动下钻（进阶2：点击柱体下钻至该学院，KPI 与图表同步过滤）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533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lert-war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33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666666"/>
          <w:sz w:val="21"/>
        </w:rPr>
        <w:t>图6  预警触发（扩展2：日均消费额与大单占比同时超过预警线，红色预警条+KPI 变色）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88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altime-mod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8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666666"/>
          <w:sz w:val="21"/>
        </w:rPr>
        <w:t>图7  实时数据流模式（扩展1：开启实时刷新，右上角显示实时数据流已接入徽标）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3651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3651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666666"/>
          <w:sz w:val="21"/>
        </w:rPr>
        <w:t>图8  移动端适配（扩展3：430×932 视口，单列堆叠布局）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bigscreen-25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666666"/>
          <w:sz w:val="21"/>
        </w:rPr>
        <w:t>图9  大屏适配（扩展3：2560px 超宽视口，多列栅格布局）</w:t>
      </w:r>
    </w:p>
    <w:p>
      <w:pPr>
        <w:pStyle w:val="Heading1"/>
      </w:pPr>
      <w:r>
        <w:rPr>
          <w:rFonts w:ascii="Times New Roman" w:hAnsi="Times New Roman" w:eastAsia="黑体"/>
          <w:b/>
          <w:color w:val="1F3B63"/>
          <w:sz w:val="32"/>
        </w:rPr>
        <w:t>八、实验过程中遇到的问题及解决方法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#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问题</w:t>
            </w:r>
          </w:p>
        </w:tc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原因分析</w:t>
            </w:r>
          </w:p>
        </w:tc>
        <w:tc>
          <w:tcPr>
            <w:tcW w:type="dxa" w:w="368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解决方法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Plotly 7 报错 Invalid property 'titlefont'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Plotly 7.0 移除了 titlefont 属性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改为 title=dict(text=..., font=dict(...)) 新写法，并编写图表组件单元自测脚本逐个验证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KPI 动画在页面上重复渲染几十张卡片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循环调用 st.markdown 追加内容而非替换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改用 st.empty() 占位符原地更新实现滚动动画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chromedriver 无法启动，selenium 截图失败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本机环境阻止 chromedriver 进程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改用 Chrome DevTools Protocol（CDP）WebSocket 直连截图，不依赖 chromedriver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图表点击联动与滑块调节的自动化点击不生效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scrollIntoView 未等完成就取坐标，点击位置漂移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用 Promise 包裹滚动后延迟取坐标，并补发 mouseMoved 事件；同时为看板增加 URL 参数直达演示状态作为回退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卡片样式依赖 Streamlit 内部 DOM 结构，版本升级后失效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data-testid 属性随版本变化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放弃内部选择器，改为对 st.plotly_chart/st.dataframe 输出容器直接注入样式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38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新版本 Streamlit 的容器边框样式被全局 CSS 覆盖后错位</w:t>
            </w:r>
          </w:p>
        </w:tc>
        <w:tc>
          <w:tcPr>
            <w:tcW w:type="dxa" w:w="2551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对内部容器滥用 !important</w:t>
            </w:r>
          </w:p>
        </w:tc>
        <w:tc>
          <w:tcPr>
            <w:tcW w:type="dxa" w:w="3685"/>
          </w:tcPr>
          <w:p>
            <w:r/>
            <w:r>
              <w:rPr>
                <w:rFonts w:ascii="Times New Roman" w:hAnsi="Times New Roman" w:eastAsia="宋体"/>
                <w:b w:val="0"/>
                <w:sz w:val="21"/>
              </w:rPr>
              <w:t>精简 CSS 规则，仅保留对顶层布局容器的控制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color w:val="1F3B63"/>
          <w:sz w:val="32"/>
        </w:rPr>
        <w:t>九、实验总结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本实验完整走通了数据看板从需求分析、版面设计、数据生成与清洗、图表搭建、整合排版到成果验证的全流程。基础任务全部完成，并在进阶与扩展层面完成了 3 + 5 项：实现了五维筛选联动与图表点击下钻、双阈值预警监控、实时数据流模拟、大屏与移动端多终端适配、双主题切换以及报告导出闭环。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主要收获：一是理解了「图表选型服务于业务问题」——概览区用 KPI 卡片回答总量问题，维度区用对比与结构图表回答分布问题，趋势区用折线/热力回答时序问题；二是体会到预处理决定看板可信度，6040 条脏数据若不清洗，KPI 会被 99999 元的异常值直接拉爆；三是掌握了 Streamlit 的事件驱动模型与缓存机制，理解了联动交互本质上是「筛选条件变化 → 全页重算重绘」。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不足与改进方向：目前数据源仍为模拟数据，后续可接入真实数据库或校园 API；预警规则目前为静态阈值，可引入同比/环比动态基线；移动端图表字号在极小屏下仍偏小，可增加专门的移动端图表尺寸策略。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