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w:bidi w:val="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pt-PT"/>
        </w:rPr>
        <w:t>Test-Driven Development Reduz Defeitos?</w:t>
      </w:r>
    </w:p>
    <w:p>
      <w:pPr>
        <w:pStyle w:val="Corpo"/>
        <w:bidi w:val="0"/>
      </w:pPr>
      <w:r>
        <w:rPr>
          <w:rFonts w:ascii="Times New Roman" w:hAnsi="Times New Roman"/>
          <w:b w:val="1"/>
          <w:bCs w:val="1"/>
          <w:sz w:val="28"/>
          <w:szCs w:val="28"/>
          <w:rtl w:val="0"/>
          <w:lang w:val="pt-PT"/>
        </w:rPr>
        <w:t>Uma Meta-analise de Experimentos Controlados</w:t>
      </w:r>
    </w:p>
    <w:p>
      <w:pPr>
        <w:pStyle w:val="Corpo"/>
        <w:bidi w:val="0"/>
      </w:pPr>
      <w:r>
        <w:rPr>
          <w:rFonts w:ascii="Times New Roman" w:hAnsi="Times New Roman"/>
          <w:sz w:val="18"/>
          <w:szCs w:val="18"/>
          <w:rtl w:val="0"/>
          <w:lang w:val="pt-PT"/>
        </w:rPr>
        <w:t>Caio Henrique Barbosa</w:t>
      </w:r>
      <w:r>
        <w:rPr>
          <w:rFonts w:ascii="Times New Roman" w:hAnsi="Times New Roman" w:hint="default"/>
          <w:sz w:val="18"/>
          <w:szCs w:val="18"/>
          <w:rtl w:val="0"/>
        </w:rPr>
        <w:t>¹</w:t>
      </w:r>
      <w:r>
        <w:rPr>
          <w:rFonts w:ascii="Times New Roman" w:hAnsi="Times New Roman"/>
          <w:sz w:val="18"/>
          <w:szCs w:val="18"/>
          <w:rtl w:val="0"/>
          <w:lang w:val="pt-PT"/>
        </w:rPr>
        <w:t>, Luisa Fernanda Rezende</w:t>
      </w:r>
      <w:r>
        <w:rPr>
          <w:rFonts w:ascii="Times New Roman" w:hAnsi="Times New Roman" w:hint="default"/>
          <w:sz w:val="18"/>
          <w:szCs w:val="18"/>
          <w:rtl w:val="0"/>
        </w:rPr>
        <w:t>²</w:t>
      </w:r>
      <w:r>
        <w:rPr>
          <w:rFonts w:ascii="Times New Roman" w:hAnsi="Times New Roman"/>
          <w:sz w:val="18"/>
          <w:szCs w:val="18"/>
          <w:rtl w:val="0"/>
          <w:lang w:val="pt-PT"/>
        </w:rPr>
        <w:t>, Marco Antonio Silveira</w:t>
      </w:r>
      <w:r>
        <w:rPr>
          <w:rFonts w:ascii="Times New Roman" w:hAnsi="Times New Roman" w:hint="default"/>
          <w:sz w:val="18"/>
          <w:szCs w:val="18"/>
          <w:rtl w:val="0"/>
        </w:rPr>
        <w:t>¹</w:t>
      </w:r>
    </w:p>
    <w:p>
      <w:pPr>
        <w:pStyle w:val="Corpo"/>
        <w:bidi w:val="0"/>
      </w:pPr>
      <w:r>
        <w:rPr>
          <w:rFonts w:ascii="Times New Roman" w:hAnsi="Times New Roman" w:hint="default"/>
          <w:i w:val="1"/>
          <w:iCs w:val="1"/>
          <w:sz w:val="16"/>
          <w:szCs w:val="16"/>
          <w:rtl w:val="0"/>
        </w:rPr>
        <w:t>¹</w:t>
      </w:r>
      <w:r>
        <w:rPr>
          <w:rFonts w:ascii="Times New Roman" w:hAnsi="Times New Roman"/>
          <w:i w:val="1"/>
          <w:iCs w:val="1"/>
          <w:sz w:val="16"/>
          <w:szCs w:val="16"/>
          <w:rtl w:val="0"/>
          <w:lang w:val="pt-PT"/>
        </w:rPr>
        <w:t xml:space="preserve">Programa de Pos-Graduacao em Engenharia de Software </w:t>
      </w:r>
      <w:r>
        <w:rPr>
          <w:rFonts w:ascii="Times New Roman" w:hAnsi="Times New Roman" w:hint="default"/>
          <w:i w:val="1"/>
          <w:iCs w:val="1"/>
          <w:sz w:val="16"/>
          <w:szCs w:val="16"/>
          <w:rtl w:val="0"/>
          <w:lang w:val="en-US"/>
        </w:rPr>
        <w:t xml:space="preserve">— </w:t>
      </w:r>
      <w:r>
        <w:rPr>
          <w:rFonts w:ascii="Times New Roman" w:hAnsi="Times New Roman"/>
          <w:i w:val="1"/>
          <w:iCs w:val="1"/>
          <w:sz w:val="16"/>
          <w:szCs w:val="16"/>
          <w:rtl w:val="0"/>
          <w:lang w:val="pt-PT"/>
        </w:rPr>
        <w:t>Universidade Federal do Ficticio (UFFT)</w:t>
      </w:r>
    </w:p>
    <w:p>
      <w:pPr>
        <w:pStyle w:val="Corpo"/>
        <w:bidi w:val="0"/>
      </w:pPr>
      <w:r>
        <w:rPr>
          <w:rFonts w:ascii="Times New Roman" w:hAnsi="Times New Roman" w:hint="default"/>
          <w:i w:val="1"/>
          <w:iCs w:val="1"/>
          <w:sz w:val="16"/>
          <w:szCs w:val="16"/>
          <w:rtl w:val="0"/>
        </w:rPr>
        <w:t>²</w:t>
      </w:r>
      <w:r>
        <w:rPr>
          <w:rFonts w:ascii="Times New Roman" w:hAnsi="Times New Roman"/>
          <w:i w:val="1"/>
          <w:iCs w:val="1"/>
          <w:sz w:val="16"/>
          <w:szCs w:val="16"/>
          <w:rtl w:val="0"/>
          <w:lang w:val="pt-PT"/>
        </w:rPr>
        <w:t xml:space="preserve">Laboratorio de Qualidade de Software </w:t>
      </w:r>
      <w:r>
        <w:rPr>
          <w:rFonts w:ascii="Times New Roman" w:hAnsi="Times New Roman" w:hint="default"/>
          <w:i w:val="1"/>
          <w:iCs w:val="1"/>
          <w:sz w:val="16"/>
          <w:szCs w:val="16"/>
          <w:rtl w:val="0"/>
          <w:lang w:val="en-US"/>
        </w:rPr>
        <w:t xml:space="preserve">— </w:t>
      </w:r>
      <w:r>
        <w:rPr>
          <w:rFonts w:ascii="Times New Roman" w:hAnsi="Times New Roman"/>
          <w:i w:val="1"/>
          <w:iCs w:val="1"/>
          <w:sz w:val="16"/>
          <w:szCs w:val="16"/>
          <w:rtl w:val="0"/>
          <w:lang w:val="pt-PT"/>
        </w:rPr>
        <w:t>Instituto Ficticio de Tecnologia (IFT)</w:t>
      </w:r>
    </w:p>
    <w:p>
      <w:pPr>
        <w:pStyle w:val="Corpo"/>
        <w:bidi w:val="0"/>
      </w:pPr>
    </w:p>
    <w:p>
      <w:pPr>
        <w:pStyle w:val="Corpo"/>
        <w:bidi w:val="0"/>
      </w:pPr>
    </w:p>
    <w:p>
      <w:pPr>
        <w:pStyle w:val="Corpo"/>
        <w:bidi w:val="0"/>
      </w:pPr>
      <w:r>
        <w:rPr>
          <w:rFonts w:ascii="Times New Roman" w:hAnsi="Times New Roman"/>
          <w:b w:val="1"/>
          <w:bCs w:val="1"/>
          <w:rtl w:val="0"/>
          <w:lang w:val="fr-FR"/>
        </w:rPr>
        <w:t>RESUMO</w:t>
      </w:r>
    </w:p>
    <w:p>
      <w:pPr>
        <w:pStyle w:val="Corpo"/>
        <w:bidi w:val="0"/>
      </w:pPr>
      <w:r>
        <w:rPr>
          <w:rFonts w:ascii="Times New Roman" w:hAnsi="Times New Roman"/>
          <w:sz w:val="20"/>
          <w:szCs w:val="20"/>
          <w:rtl w:val="0"/>
          <w:lang w:val="pt-PT"/>
        </w:rPr>
        <w:t>Esta meta-analise sintetiza 15 experimentos controlados e quasi-experimentos sobre o efeito de Test-Driven Development (TDD) na densidade de defeitos em codigo de software, publicados entre 2002 e 2023. Usando o modelo de efeitos aleatorios de DerSimonian e Laird, o efeito poolado foi d = -0,37 (IC 95%: [-0,52, -0,22], p &lt; 0,001, I</w:t>
      </w:r>
      <w:r>
        <w:rPr>
          <w:rFonts w:ascii="Times New Roman" w:hAnsi="Times New Roman" w:hint="default"/>
          <w:sz w:val="20"/>
          <w:szCs w:val="20"/>
          <w:rtl w:val="0"/>
        </w:rPr>
        <w:t xml:space="preserve">² </w:t>
      </w:r>
      <w:r>
        <w:rPr>
          <w:rFonts w:ascii="Times New Roman" w:hAnsi="Times New Roman"/>
          <w:sz w:val="20"/>
          <w:szCs w:val="20"/>
          <w:rtl w:val="0"/>
          <w:lang w:val="pt-PT"/>
        </w:rPr>
        <w:t>= 38%), indicando efeito pequeno a moderado favoravel ao TDD. O forest plot mostra que 10 dos 15 estudos apresentam ICs inteiramente negativos (favoraveis ao TDD), enquanto 5 estudos cruzam a linha nula. A heterogeneidade moderada (I</w:t>
      </w:r>
      <w:r>
        <w:rPr>
          <w:rFonts w:ascii="Times New Roman" w:hAnsi="Times New Roman" w:hint="default"/>
          <w:sz w:val="20"/>
          <w:szCs w:val="20"/>
          <w:rtl w:val="0"/>
        </w:rPr>
        <w:t xml:space="preserve">² </w:t>
      </w:r>
      <w:r>
        <w:rPr>
          <w:rFonts w:ascii="Times New Roman" w:hAnsi="Times New Roman"/>
          <w:sz w:val="20"/>
          <w:szCs w:val="20"/>
          <w:rtl w:val="0"/>
          <w:lang w:val="pt-PT"/>
        </w:rPr>
        <w:t>= 38%) foi investigada por metarregressao, que identificou o contexto de aplicacao (academico vs. industrial) como moderador significativo. O funnel plot revela assimetria leve, sugerindo possivel vies de publicacao. O artigo demonstra passo a passo o processo meta-analitico e a interpretacao de suas tres visualizacoes centrais: forest plot, funnel plot e grafico de metarregressao.</w:t>
      </w:r>
    </w:p>
    <w:p>
      <w:pPr>
        <w:pStyle w:val="Corpo"/>
        <w:bidi w:val="0"/>
      </w:pPr>
      <w:r>
        <w:rPr>
          <w:rFonts w:ascii="Times New Roman" w:hAnsi="Times New Roman"/>
          <w:i w:val="1"/>
          <w:iCs w:val="1"/>
          <w:sz w:val="18"/>
          <w:szCs w:val="18"/>
          <w:rtl w:val="0"/>
          <w:lang w:val="pt-PT"/>
        </w:rPr>
        <w:t>Nota: Este artigo e inteiramente ficticio, produzido para fins didaticos na disciplina de Metodologia de Pesquisa em Engenharia de Software. Os estudos citados e resultados sao inventados para ilustrar o metodo. Os nomes de autores nos estudos primarios referenciados sao de pesquisadores reais da area de TDD em ES, usados apenas como referencia contextual plausivel.</w:t>
      </w:r>
    </w:p>
    <w:p>
      <w:pPr>
        <w:pStyle w:val="Corpo"/>
        <w:bidi w:val="0"/>
      </w:pPr>
    </w:p>
    <w:p>
      <w:pPr>
        <w:pStyle w:val="Corpo"/>
        <w:bidi w:val="0"/>
      </w:pPr>
    </w:p>
    <w:p>
      <w:pPr>
        <w:pStyle w:val="Corpo"/>
        <w:bidi w:val="0"/>
      </w:pPr>
      <w:r>
        <w:rPr>
          <w:rFonts w:ascii="Times New Roman" w:hAnsi="Times New Roman"/>
          <w:b w:val="1"/>
          <w:bCs w:val="1"/>
          <w:rtl w:val="0"/>
        </w:rPr>
        <w:t>1. INTRODUCAO</w:t>
      </w:r>
    </w:p>
    <w:p>
      <w:pPr>
        <w:pStyle w:val="Corpo"/>
        <w:bidi w:val="0"/>
      </w:pPr>
      <w:r>
        <w:rPr>
          <w:rFonts w:ascii="Times New Roman" w:hAnsi="Times New Roman"/>
          <w:sz w:val="20"/>
          <w:szCs w:val="20"/>
          <w:rtl w:val="0"/>
          <w:lang w:val="pt-PT"/>
        </w:rPr>
        <w:t xml:space="preserve">Test-Driven Development (TDD) e uma pratica de desenvolvimento de software em que os testes automatizados sao escritos antes do codigo de producao. O ciclo basico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escrever um teste que falha, escrever o codigo minimo para faze-lo passar, refatorar </w:t>
      </w:r>
      <w:r>
        <w:rPr>
          <w:rFonts w:ascii="Times New Roman" w:hAnsi="Times New Roman" w:hint="default"/>
          <w:sz w:val="20"/>
          <w:szCs w:val="20"/>
          <w:rtl w:val="0"/>
          <w:lang w:val="en-US"/>
        </w:rPr>
        <w:t xml:space="preserve">— </w:t>
      </w:r>
      <w:r>
        <w:rPr>
          <w:rFonts w:ascii="Times New Roman" w:hAnsi="Times New Roman"/>
          <w:sz w:val="20"/>
          <w:szCs w:val="20"/>
          <w:rtl w:val="0"/>
          <w:lang w:val="pt-PT"/>
        </w:rPr>
        <w:t>e parte central de metodologias ageis como Extreme Programming. Desde o inicio dos anos 2000, a afirmacao de que TDD melhora a qualidade do codigo tem sido investigada empiricamente, produzindo um corpus de experimentos que, tomados individualmente, chegam a conclusoes variadas.</w:t>
      </w:r>
    </w:p>
    <w:p>
      <w:pPr>
        <w:pStyle w:val="Corpo"/>
        <w:bidi w:val="0"/>
      </w:pPr>
      <w:r>
        <w:rPr>
          <w:rFonts w:ascii="Times New Roman" w:hAnsi="Times New Roman"/>
          <w:sz w:val="20"/>
          <w:szCs w:val="20"/>
          <w:rtl w:val="0"/>
          <w:lang w:val="pt-PT"/>
        </w:rPr>
        <w:t>Alguns estudos encontram reducao significativa de defeitos com TDD. Outros nao encontram diferenca significativa, ou encontram efeitos que desaparecem quando o contexto e controlado. A variabilidade de resultados nao e surpreendente: estudos com amostras pequenas tem alta variabilidade amostral; estudos em contexto academico podem nao refletir pratica industrial; a propria definicao de 'TDD' varia entre estudos. O que um pesquisador ou profissional que precisa de uma resposta fundamentada deve fazer diante desse corpo de evidencias heterogeneas?</w:t>
      </w:r>
    </w:p>
    <w:p>
      <w:pPr>
        <w:pStyle w:val="Corpo"/>
        <w:bidi w:val="0"/>
      </w:pPr>
      <w:r>
        <w:rPr>
          <w:rFonts w:ascii="Times New Roman" w:hAnsi="Times New Roman"/>
          <w:sz w:val="20"/>
          <w:szCs w:val="20"/>
          <w:rtl w:val="0"/>
          <w:lang w:val="pt-PT"/>
        </w:rPr>
        <w:t xml:space="preserve">A meta-analise e o metodo adequado para esse tipo de problema. Ela agrega estatisticamente os efeitos de multiplos estudos, ponderando-os pelo tamanho amostral e precisao, produzindo uma estimativa poolada mais precisa do que qualquer estudo individual. Alem disso, ela quantifica a heterogeneidade entre estudos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o quanto os efeitos variam alem do esperado por acaso </w:t>
      </w:r>
      <w:r>
        <w:rPr>
          <w:rFonts w:ascii="Times New Roman" w:hAnsi="Times New Roman" w:hint="default"/>
          <w:sz w:val="20"/>
          <w:szCs w:val="20"/>
          <w:rtl w:val="0"/>
          <w:lang w:val="en-US"/>
        </w:rPr>
        <w:t xml:space="preserve">— </w:t>
      </w:r>
      <w:r>
        <w:rPr>
          <w:rFonts w:ascii="Times New Roman" w:hAnsi="Times New Roman"/>
          <w:sz w:val="20"/>
          <w:szCs w:val="20"/>
          <w:rtl w:val="0"/>
          <w:lang w:val="pt-PT"/>
        </w:rPr>
        <w:t>e permite investigar quais caracteristicas dos estudos explicam essa variacao.</w:t>
      </w:r>
    </w:p>
    <w:p>
      <w:pPr>
        <w:pStyle w:val="Corpo"/>
        <w:bidi w:val="0"/>
      </w:pPr>
      <w:r>
        <w:rPr>
          <w:rFonts w:ascii="Times New Roman" w:hAnsi="Times New Roman"/>
          <w:sz w:val="20"/>
          <w:szCs w:val="20"/>
          <w:rtl w:val="0"/>
          <w:lang w:val="pt-PT"/>
        </w:rPr>
        <w:t>Este artigo conduz e documenta uma meta-analise do efeito de TDD sobre a densidade de defeitos. O objetivo pedagogico e demonstrar o processo meta-analitico completo: selecao e homogeneizacao dos estudos, escolha do modelo de efeitos, calculo do efeito poolado, avaliacao de heterogeneidade, metarregressao e avaliacao de vies de publicacao. Cada decisao e explicada com sua justificativa e suas implicacoes para a interpretacao dos resultados.</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636" w:hRule="atLeast"/>
        </w:trPr>
        <w:tc>
          <w:tcPr>
            <w:tcW w:type="dxa" w:w="9071"/>
            <w:tcBorders>
              <w:top w:val="single" w:color="aed6f1" w:sz="4" w:space="0" w:shadow="0" w:frame="0"/>
              <w:left w:val="single" w:color="aed6f1" w:sz="4" w:space="0" w:shadow="0" w:frame="0"/>
              <w:bottom w:val="single" w:color="aed6f1" w:sz="4" w:space="0" w:shadow="0" w:frame="0"/>
              <w:right w:val="single" w:color="aed6f1" w:sz="4" w:space="0" w:shadow="0" w:frame="0"/>
            </w:tcBorders>
            <w:shd w:val="clear" w:color="auto" w:fill="ebf5fb"/>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b w:val="1"/>
                <w:bCs w:val="1"/>
                <w:sz w:val="18"/>
                <w:szCs w:val="18"/>
                <w:u w:color="000000"/>
                <w:shd w:val="nil" w:color="auto" w:fill="auto"/>
                <w:rtl w:val="0"/>
                <w:lang w:val="pt-PT"/>
              </w:rPr>
              <w:t>Questoes de Pesquisa</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Times New Roman" w:hAnsi="Times New Roman"/>
                <w:b w:val="1"/>
                <w:bCs w:val="1"/>
                <w:sz w:val="18"/>
                <w:szCs w:val="18"/>
                <w:u w:color="000000"/>
                <w:shd w:val="nil" w:color="auto" w:fill="auto"/>
                <w:rtl w:val="0"/>
                <w:lang w:val="it-IT"/>
              </w:rPr>
              <w:t xml:space="preserve">RQ1: </w:t>
            </w:r>
            <w:r>
              <w:rPr>
                <w:rFonts w:ascii="Times New Roman" w:hAnsi="Times New Roman"/>
                <w:sz w:val="18"/>
                <w:szCs w:val="18"/>
                <w:u w:color="000000"/>
                <w:shd w:val="nil" w:color="auto" w:fill="auto"/>
                <w:rtl w:val="0"/>
                <w:lang w:val="pt-PT"/>
              </w:rPr>
              <w:t>TDD produz reducao na densidade de defeitos em comparacao com desenvolvimento convencional?</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Times New Roman" w:hAnsi="Times New Roman"/>
                <w:b w:val="1"/>
                <w:bCs w:val="1"/>
                <w:sz w:val="18"/>
                <w:szCs w:val="18"/>
                <w:u w:color="000000"/>
                <w:shd w:val="nil" w:color="auto" w:fill="auto"/>
                <w:rtl w:val="0"/>
                <w:lang w:val="it-IT"/>
              </w:rPr>
              <w:t xml:space="preserve">RQ2: </w:t>
            </w:r>
            <w:r>
              <w:rPr>
                <w:rFonts w:ascii="Times New Roman" w:hAnsi="Times New Roman"/>
                <w:sz w:val="18"/>
                <w:szCs w:val="18"/>
                <w:u w:color="000000"/>
                <w:shd w:val="nil" w:color="auto" w:fill="auto"/>
                <w:rtl w:val="0"/>
                <w:lang w:val="pt-PT"/>
              </w:rPr>
              <w:t xml:space="preserve">Qual e a magnitude e a direcao do efeito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e qual e o grau de certeza associado a essa estimativa?</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sz w:val="18"/>
                <w:szCs w:val="18"/>
                <w:u w:color="000000"/>
                <w:shd w:val="nil" w:color="auto" w:fill="auto"/>
                <w:rtl w:val="0"/>
                <w:lang w:val="it-IT"/>
              </w:rPr>
              <w:t xml:space="preserve">RQ3: </w:t>
            </w:r>
            <w:r>
              <w:rPr>
                <w:rFonts w:ascii="Times New Roman" w:hAnsi="Times New Roman"/>
                <w:sz w:val="18"/>
                <w:szCs w:val="18"/>
                <w:u w:color="000000"/>
                <w:shd w:val="nil" w:color="auto" w:fill="auto"/>
                <w:rtl w:val="0"/>
                <w:lang w:val="pt-PT"/>
              </w:rPr>
              <w:t>A heterogeneidade entre estudos e explicada pelo contexto de aplicacao (academico vs. industrial) ou pelo nivel de experiencia dos participantes com TDD?</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rPr>
        <w:t>2. METODO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Esta secao descreve o protocolo meta-analitico completo. A ordem de apresentacao segue as etapas do processo: criterios de inclusao, homogeneizacao de medidas, modelo estatistico, heterogeneidade e metarregressao, e avaliacao de vies. Cada etapa contem as decisoes nao-obvias em caixas amarelas.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2.1 O que e meta-analise e quando ela e aplicavel</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Meta-analise e uma tecnica estatistica que combina os resultados de multiplos estudos primarios para produzir uma estimativa agregada de um efeito. Ela e aplicavel quando os estudos primarios (a) investigam a mesma intervencao e o mesmo desfecho, (b) reportam estatisticas suficientes para calcular ou estimar um tamanho de efeito padronizado, e (c) sao suficientemente comparaveis em design para que sua agregacao seja substantivamente valida.</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que diferencia a meta-analise dos demais metodos desta serie e precisamente a natureza quantitativa da sintese: em vez de argumentar textualmente sobre o que os estudos dizem, ela calcula um efeito medio ponderado com intervalo de confianca. Isso e uma forca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mais preciso e replicavel </w:t>
      </w:r>
      <w:r>
        <w:rPr>
          <w:rFonts w:ascii="Times New Roman" w:hAnsi="Times New Roman" w:hint="default"/>
          <w:sz w:val="20"/>
          <w:szCs w:val="20"/>
          <w:rtl w:val="0"/>
          <w:lang w:val="en-US"/>
        </w:rPr>
        <w:t xml:space="preserve">— </w:t>
      </w:r>
      <w:r>
        <w:rPr>
          <w:rFonts w:ascii="Times New Roman" w:hAnsi="Times New Roman"/>
          <w:sz w:val="20"/>
          <w:szCs w:val="20"/>
          <w:rtl w:val="0"/>
          <w:lang w:val="pt-PT"/>
        </w:rPr>
        <w:t>mas tambem uma restricao severa: so e possivel quando os estudos sao experimentais ou quasi-experimentais com desfechos comparaveis e metricas homogeneizaveis.</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2273" w:hRule="atLeast"/>
        </w:trPr>
        <w:tc>
          <w:tcPr>
            <w:tcW w:type="dxa" w:w="9071"/>
            <w:tcBorders>
              <w:top w:val="single" w:color="a9dfbf" w:sz="4" w:space="0" w:shadow="0" w:frame="0"/>
              <w:left w:val="single" w:color="a9dfbf" w:sz="4" w:space="0" w:shadow="0" w:frame="0"/>
              <w:bottom w:val="single" w:color="a9dfbf" w:sz="4" w:space="0" w:shadow="0" w:frame="0"/>
              <w:right w:val="single" w:color="a9dfbf" w:sz="4" w:space="0" w:shadow="0" w:frame="0"/>
            </w:tcBorders>
            <w:shd w:val="clear" w:color="auto" w:fill="eaf6ea"/>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b w:val="1"/>
                <w:bCs w:val="1"/>
                <w:sz w:val="18"/>
                <w:szCs w:val="18"/>
                <w:u w:color="000000"/>
                <w:shd w:val="nil" w:color="auto" w:fill="auto"/>
                <w:rtl w:val="0"/>
                <w:lang w:val="pt-PT"/>
              </w:rPr>
              <w:t>Condicoes necessarias para meta-analise</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shd w:val="nil" w:color="auto" w:fill="auto"/>
                <w:rtl w:val="0"/>
                <w:lang w:val="pt-PT"/>
              </w:rPr>
              <w:t>1. Estudos primarios devem comparar duas condicoes (TDD vs. controle) no mesmo desfecho (densidade de defeitos).</w:t>
            </w: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pt-PT"/>
              </w:rPr>
              <w:t>2. Cada estudo deve reportar estatisticas suficientes para calcular ou estimar d de Cohen (media, DP, n por grupo; ou F, t, p com n).</w:t>
            </w: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pt-PT"/>
              </w:rPr>
              <w:t>3. O desfecho deve ser operacionalizado de forma suficientemente similar entre estudos para que a agregacao seja valida. Defeitos por kloc e defeitos por funcao-ponto nao sao diretamente comparaveis sem conversao.</w:t>
            </w:r>
          </w:p>
          <w:p>
            <w:pPr>
              <w:pStyle w:val="Padrão"/>
              <w:bidi w:val="0"/>
            </w:pPr>
            <w:r>
              <w:rPr>
                <w:rFonts w:ascii="Times New Roman" w:hAnsi="Times New Roman"/>
                <w:sz w:val="18"/>
                <w:szCs w:val="18"/>
                <w:u w:color="000000"/>
                <w:shd w:val="nil" w:color="auto" w:fill="auto"/>
                <w:rtl w:val="0"/>
                <w:lang w:val="pt-PT"/>
              </w:rPr>
              <w:t>4. Os estudos devem ser independentes: dados de diferentes publicacoes do mesmo experimento contam como um estudo.</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2.2 Selecao e homogeneizacao dos estudos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A busca foi conduzida em quatro bases (IEEE Xplore, ACM DL, Scopus, Google Scholar) com a string abaixo. O periodo coberto e 2001</w:t>
      </w:r>
      <w:r>
        <w:rPr>
          <w:rFonts w:ascii="Times New Roman" w:hAnsi="Times New Roman" w:hint="default"/>
          <w:sz w:val="20"/>
          <w:szCs w:val="20"/>
          <w:rtl w:val="0"/>
        </w:rPr>
        <w:t>–</w:t>
      </w:r>
      <w:r>
        <w:rPr>
          <w:rFonts w:ascii="Times New Roman" w:hAnsi="Times New Roman"/>
          <w:sz w:val="20"/>
          <w:szCs w:val="20"/>
          <w:rtl w:val="0"/>
          <w:lang w:val="pt-PT"/>
        </w:rPr>
        <w:t>2023, iniciando apos a publicacao de Beck (2002), que popularizou TDD como pratica sistematizada.</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2593" w:hRule="atLeast"/>
        </w:trPr>
        <w:tc>
          <w:tcPr>
            <w:tcW w:type="dxa" w:w="9071"/>
            <w:tcBorders>
              <w:top w:val="single" w:color="000000" w:sz="4" w:space="0" w:shadow="0" w:frame="0"/>
              <w:left w:val="single" w:color="555555" w:sz="12" w:space="0" w:shadow="0" w:frame="0"/>
              <w:bottom w:val="single" w:color="000000" w:sz="4" w:space="0" w:shadow="0" w:frame="0"/>
              <w:right w:val="single" w:color="000000" w:sz="4" w:space="0" w:shadow="0" w:frame="0"/>
            </w:tcBorders>
            <w:shd w:val="clear" w:color="auto" w:fill="f0f0f0"/>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b w:val="1"/>
                <w:bCs w:val="1"/>
                <w:sz w:val="18"/>
                <w:szCs w:val="18"/>
                <w:u w:color="000000"/>
                <w:shd w:val="nil" w:color="auto" w:fill="auto"/>
                <w:rtl w:val="0"/>
                <w:lang w:val="es-ES_tradnl"/>
              </w:rPr>
              <w:t>String de busca</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shd w:val="nil" w:color="auto" w:fill="auto"/>
                <w:rtl w:val="0"/>
                <w:lang w:val="en-US"/>
              </w:rPr>
              <w:t>("test-driven development" OR "TDD" OR "test-first development") AND</w:t>
            </w: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en-US"/>
              </w:rPr>
              <w:t>("defect density" OR "fault density" OR "bug rate" OR "code quality" OR "defects") AND</w:t>
            </w: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en-US"/>
              </w:rPr>
              <w:t>("experiment" OR "controlled" OR "quasi-experiment" OR "empirical study")</w:t>
            </w:r>
          </w:p>
          <w:p>
            <w:pPr>
              <w:pStyle w:val="Padrão"/>
              <w:bidi w:val="0"/>
              <w:rPr>
                <w:rFonts w:ascii="Times New Roman" w:cs="Times New Roman" w:hAnsi="Times New Roman" w:eastAsia="Times New Roman"/>
                <w:sz w:val="18"/>
                <w:szCs w:val="18"/>
                <w:u w:color="000000"/>
                <w:shd w:val="nil" w:color="auto" w:fill="auto"/>
                <w:rtl w:val="0"/>
              </w:rPr>
            </w:pP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pt-PT"/>
              </w:rPr>
              <w:t>Restricao: apenas experimentos controlados e quasi-experimentos com grupo controle explicito.</w:t>
            </w:r>
          </w:p>
          <w:p>
            <w:pPr>
              <w:pStyle w:val="Padrão"/>
              <w:bidi w:val="0"/>
            </w:pPr>
            <w:r>
              <w:rPr>
                <w:rFonts w:ascii="Times New Roman" w:hAnsi="Times New Roman"/>
                <w:sz w:val="18"/>
                <w:szCs w:val="18"/>
                <w:u w:color="000000"/>
                <w:shd w:val="nil" w:color="auto" w:fill="auto"/>
                <w:rtl w:val="0"/>
                <w:lang w:val="pt-PT"/>
              </w:rPr>
              <w:t>Exclusao: estudos de caso sem grupo controle, surveys de percepcao, artigos teoricos.</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A Figura 1 mostra a producao anual recuperada e incluida. O corpus final de 15 estudos e o resultado de tres rodadas de triagem: por titulo/resumo (excluiu 127 de 162), por texto completo (excluiu 20 de 35) e por qualidade metodologica (excluiu nenhum apos o protocolo de avaliacao descrito abaixo).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762625" cy="2876550"/>
            <wp:effectExtent l="0" t="0" r="0" b="0"/>
            <wp:docPr id="1073741825" name="officeArt object" descr="dfd8851583912b99c709f375a1f3083dd3878fb9.png"/>
            <wp:cNvGraphicFramePr/>
            <a:graphic xmlns:a="http://schemas.openxmlformats.org/drawingml/2006/main">
              <a:graphicData uri="http://schemas.openxmlformats.org/drawingml/2006/picture">
                <pic:pic xmlns:pic="http://schemas.openxmlformats.org/drawingml/2006/picture">
                  <pic:nvPicPr>
                    <pic:cNvPr id="1073741825" name="dfd8851583912b99c709f375a1f3083dd3878fb9.png" descr="dfd8851583912b99c709f375a1f3083dd3878fb9.png"/>
                    <pic:cNvPicPr>
                      <a:picLocks noChangeAspect="1"/>
                    </pic:cNvPicPr>
                  </pic:nvPicPr>
                  <pic:blipFill>
                    <a:blip r:embed="rId4">
                      <a:extLst/>
                    </a:blip>
                    <a:stretch>
                      <a:fillRect/>
                    </a:stretch>
                  </pic:blipFill>
                  <pic:spPr>
                    <a:xfrm>
                      <a:off x="0" y="0"/>
                      <a:ext cx="5762625" cy="2876550"/>
                    </a:xfrm>
                    <a:prstGeom prst="rect">
                      <a:avLst/>
                    </a:prstGeom>
                    <a:ln w="12700" cap="flat">
                      <a:noFill/>
                      <a:miter lim="400000"/>
                    </a:ln>
                    <a:effectLst/>
                  </pic:spPr>
                </pic:pic>
              </a:graphicData>
            </a:graphic>
          </wp:inline>
        </w:drawing>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952" w:hRule="atLeast"/>
        </w:trPr>
        <w:tc>
          <w:tcPr>
            <w:tcW w:type="dxa" w:w="9071"/>
            <w:tcBorders>
              <w:top w:val="single" w:color="aed6f1" w:sz="4" w:space="0" w:shadow="0" w:frame="0"/>
              <w:left w:val="single" w:color="aed6f1" w:sz="4" w:space="0" w:shadow="0" w:frame="0"/>
              <w:bottom w:val="single" w:color="aed6f1" w:sz="4" w:space="0" w:shadow="0" w:frame="0"/>
              <w:right w:val="single" w:color="aed6f1" w:sz="4" w:space="0" w:shadow="0" w:frame="0"/>
            </w:tcBorders>
            <w:shd w:val="clear" w:color="auto" w:fill="ebf5fb"/>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Unicode MS" w:cs="Arial Unicode MS" w:hAnsi="Arial Unicode MS" w:eastAsia="Arial Unicode MS" w:hint="default"/>
                <w:b w:val="0"/>
                <w:bCs w:val="0"/>
                <w:i w:val="0"/>
                <w:iCs w:val="0"/>
                <w:sz w:val="18"/>
                <w:szCs w:val="18"/>
                <w:u w:color="000000"/>
                <w:shd w:val="nil" w:color="auto" w:fill="auto"/>
                <w:rtl w:val="0"/>
              </w:rPr>
              <w:t>▶</w:t>
            </w:r>
            <w:r>
              <w:rPr>
                <w:rFonts w:ascii="Times New Roman" w:hAnsi="Times New Roman"/>
                <w:b w:val="1"/>
                <w:bCs w:val="1"/>
                <w:sz w:val="18"/>
                <w:szCs w:val="18"/>
                <w:u w:color="000000"/>
                <w:shd w:val="nil" w:color="auto" w:fill="auto"/>
                <w:rtl w:val="0"/>
              </w:rPr>
              <w:t xml:space="preserve"> </w:t>
            </w:r>
            <w:r>
              <w:rPr>
                <w:rFonts w:ascii="Times New Roman" w:hAnsi="Times New Roman"/>
                <w:b w:val="1"/>
                <w:bCs w:val="1"/>
                <w:sz w:val="18"/>
                <w:szCs w:val="18"/>
                <w:u w:color="000000"/>
                <w:shd w:val="nil" w:color="auto" w:fill="auto"/>
                <w:rtl w:val="0"/>
                <w:lang w:val="it-IT"/>
              </w:rPr>
              <w:t xml:space="preserve">Como ler este grafico: </w:t>
            </w:r>
            <w:r>
              <w:rPr>
                <w:rFonts w:ascii="Times New Roman" w:hAnsi="Times New Roman"/>
                <w:sz w:val="18"/>
                <w:szCs w:val="18"/>
                <w:u w:color="000000"/>
                <w:shd w:val="nil" w:color="auto" w:fill="auto"/>
                <w:rtl w:val="0"/>
                <w:lang w:val="pt-PT"/>
              </w:rPr>
              <w:t>A linha cinza mostra o total de estudos recuperados por ano; a linha azul, os 15 incluidos apos triagem. A producao e relativamente estavel, com leve crescimento pos-2015 quando frameworks de TDD se consolidaram em multiplas linguagens. A taxa de inclusao (media de 48%) reflete a aplicacao rigorosa do criterio de grupo controle explicito.</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Para homogeneizar as medidas de desfecho, todos os estudos foram convertidos para d de Cohen, usando as formulas de conversao de Morris e DeShon (2002) quando os estudos reportavam F ou t em vez de medias e desvios padrao. Quando necessario, o n efetivo foi calculado a partir do poder reportado. A Tabela 1 descreve os 15 estudos incluidos com seus efeitos e intervalos de confianca.</w:t>
      </w:r>
    </w:p>
    <w:tbl>
      <w:tblPr>
        <w:tblW w:w="8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1800"/>
        <w:gridCol w:w="600"/>
        <w:gridCol w:w="700"/>
        <w:gridCol w:w="1400"/>
        <w:gridCol w:w="1300"/>
        <w:gridCol w:w="1771"/>
      </w:tblGrid>
      <w:tr>
        <w:tblPrEx>
          <w:shd w:val="clear" w:color="auto" w:fill="ced7e7"/>
        </w:tblPrEx>
        <w:trPr>
          <w:trHeight w:val="202"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b w:val="1"/>
                <w:bCs w:val="1"/>
                <w:sz w:val="18"/>
                <w:szCs w:val="18"/>
                <w:u w:color="000000"/>
                <w:shd w:val="nil" w:color="auto" w:fill="auto"/>
                <w:rtl w:val="0"/>
              </w:rPr>
              <w:t>ID</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pt-PT"/>
              </w:rPr>
              <w:t>Estudo</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b w:val="1"/>
                <w:bCs w:val="1"/>
                <w:sz w:val="18"/>
                <w:szCs w:val="18"/>
                <w:u w:color="000000"/>
                <w:shd w:val="nil" w:color="auto" w:fill="auto"/>
                <w:rtl w:val="0"/>
              </w:rPr>
              <w:t>N</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b w:val="1"/>
                <w:bCs w:val="1"/>
                <w:sz w:val="18"/>
                <w:szCs w:val="18"/>
                <w:u w:color="000000"/>
                <w:shd w:val="nil" w:color="auto" w:fill="auto"/>
                <w:rtl w:val="0"/>
              </w:rPr>
              <w:t>d</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b w:val="1"/>
                <w:bCs w:val="1"/>
                <w:sz w:val="18"/>
                <w:szCs w:val="18"/>
                <w:u w:color="000000"/>
                <w:shd w:val="nil" w:color="auto" w:fill="auto"/>
                <w:rtl w:val="0"/>
              </w:rPr>
              <w:t>IC 95%</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b w:val="1"/>
                <w:bCs w:val="1"/>
                <w:sz w:val="18"/>
                <w:szCs w:val="18"/>
                <w:u w:color="000000"/>
                <w:shd w:val="nil" w:color="auto" w:fill="auto"/>
                <w:rtl w:val="0"/>
              </w:rPr>
              <w:t>Contexto</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pt-PT"/>
              </w:rPr>
              <w:t>Exp. com TDD</w:t>
            </w:r>
          </w:p>
        </w:tc>
      </w:tr>
      <w:tr>
        <w:tblPrEx>
          <w:shd w:val="clear" w:color="auto" w:fill="ced7e7"/>
        </w:tblPrEx>
        <w:trPr>
          <w:trHeight w:val="441"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E01</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fr-FR"/>
              </w:rPr>
              <w:t>Muller &amp; Hagner (2002)</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24</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-0,62</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[-1,18; -0,06]</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it-IT"/>
              </w:rPr>
              <w:t>Academico</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Iniciante</w:t>
            </w:r>
          </w:p>
        </w:tc>
      </w:tr>
      <w:tr>
        <w:tblPrEx>
          <w:shd w:val="clear" w:color="auto" w:fill="ced7e7"/>
        </w:tblPrEx>
        <w:trPr>
          <w:trHeight w:val="441"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E02</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George &amp; Williams (2003)</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24</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-0,45</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[-0,89; 0,01]</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it-IT"/>
              </w:rPr>
              <w:t>Academico</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Iniciante</w:t>
            </w:r>
          </w:p>
        </w:tc>
      </w:tr>
      <w:tr>
        <w:tblPrEx>
          <w:shd w:val="clear" w:color="auto" w:fill="ced7e7"/>
        </w:tblPrEx>
        <w:trPr>
          <w:trHeight w:val="441"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E03</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Janzen &amp; Saiedian (2006)</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72</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-0,38</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[-0,71; -0,05]</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it-IT"/>
              </w:rPr>
              <w:t>Academico</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Misto</w:t>
            </w:r>
          </w:p>
        </w:tc>
      </w:tr>
      <w:tr>
        <w:tblPrEx>
          <w:shd w:val="clear" w:color="auto" w:fill="ced7e7"/>
        </w:tblPrEx>
        <w:trPr>
          <w:trHeight w:val="441"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E04</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fr-FR"/>
              </w:rPr>
              <w:t>Erdogmus et al. (2005)</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35</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-0,29</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[-0,59; 0,01]</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it-IT"/>
              </w:rPr>
              <w:t>Academico</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Intermediario</w:t>
            </w:r>
          </w:p>
        </w:tc>
      </w:tr>
      <w:tr>
        <w:tblPrEx>
          <w:shd w:val="clear" w:color="auto" w:fill="ced7e7"/>
        </w:tblPrEx>
        <w:trPr>
          <w:trHeight w:val="441"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E05</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Nagappan et al. (2008)</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104</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-0,55</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[-0,82; -0,28]</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Industrial</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Misto</w:t>
            </w:r>
          </w:p>
        </w:tc>
      </w:tr>
      <w:tr>
        <w:tblPrEx>
          <w:shd w:val="clear" w:color="auto" w:fill="ced7e7"/>
        </w:tblPrEx>
        <w:trPr>
          <w:trHeight w:val="202"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E06</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Madeyski (2010)</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96</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-0,41</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[-0,67; -0,15]</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it-IT"/>
              </w:rPr>
              <w:t>Academico</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Iniciante</w:t>
            </w:r>
          </w:p>
        </w:tc>
      </w:tr>
      <w:tr>
        <w:tblPrEx>
          <w:shd w:val="clear" w:color="auto" w:fill="ced7e7"/>
        </w:tblPrEx>
        <w:trPr>
          <w:trHeight w:val="202"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E07</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fr-FR"/>
              </w:rPr>
              <w:t>Causevic et al. (2011)</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48</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-0,18</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[-0,54; 0,18]</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it-IT"/>
              </w:rPr>
              <w:t>Academico</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Iniciante</w:t>
            </w:r>
          </w:p>
        </w:tc>
      </w:tr>
      <w:tr>
        <w:tblPrEx>
          <w:shd w:val="clear" w:color="auto" w:fill="ced7e7"/>
        </w:tblPrEx>
        <w:trPr>
          <w:trHeight w:val="202"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E08</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Tosun et al. (2017)</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88</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-0,33</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[-0,58; -0,08]</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it-IT"/>
              </w:rPr>
              <w:t>Academico</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Misto</w:t>
            </w:r>
          </w:p>
        </w:tc>
      </w:tr>
      <w:tr>
        <w:tblPrEx>
          <w:shd w:val="clear" w:color="auto" w:fill="ced7e7"/>
        </w:tblPrEx>
        <w:trPr>
          <w:trHeight w:val="202"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E09</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Fucci et al. (2017)</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30</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-0,12</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[-0,44; 0,20]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Industrial</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Avancado</w:t>
            </w:r>
          </w:p>
        </w:tc>
      </w:tr>
      <w:tr>
        <w:tblPrEx>
          <w:shd w:val="clear" w:color="auto" w:fill="ced7e7"/>
        </w:tblPrEx>
        <w:trPr>
          <w:trHeight w:val="202"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E10</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Davide et al. (2017)</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62</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-0,48</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[-0,76; -0,20]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it-IT"/>
              </w:rPr>
              <w:t>Academico</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Intermediario</w:t>
            </w:r>
          </w:p>
        </w:tc>
      </w:tr>
      <w:tr>
        <w:tblPrEx>
          <w:shd w:val="clear" w:color="auto" w:fill="ced7e7"/>
        </w:tblPrEx>
        <w:trPr>
          <w:trHeight w:val="202"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E11</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fr-FR"/>
              </w:rPr>
              <w:t>Bissi et al. (2016)</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lang w:val="ru-RU"/>
              </w:rPr>
              <w:t>58</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-0,52</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[-0,80; -0,24]</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it-IT"/>
              </w:rPr>
              <w:t>Academico</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Iniciante</w:t>
            </w:r>
          </w:p>
        </w:tc>
      </w:tr>
      <w:tr>
        <w:tblPrEx>
          <w:shd w:val="clear" w:color="auto" w:fill="ced7e7"/>
        </w:tblPrEx>
        <w:trPr>
          <w:trHeight w:val="202"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E12</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Romano et al. (2019)</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lang w:val="ru-RU"/>
              </w:rPr>
              <w:t>74</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-0,35</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[-0,60; -0,10]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Industrial</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Misto</w:t>
            </w:r>
          </w:p>
        </w:tc>
      </w:tr>
      <w:tr>
        <w:tblPrEx>
          <w:shd w:val="clear" w:color="auto" w:fill="ced7e7"/>
        </w:tblPrEx>
        <w:trPr>
          <w:trHeight w:val="202"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E13</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Ghafari et al. (2020)</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44</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-0,22</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[-0,51; 0,07]</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Industrial</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Avancado</w:t>
            </w:r>
          </w:p>
        </w:tc>
      </w:tr>
      <w:tr>
        <w:tblPrEx>
          <w:shd w:val="clear" w:color="auto" w:fill="ced7e7"/>
        </w:tblPrEx>
        <w:trPr>
          <w:trHeight w:val="441"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E14</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Karac &amp; Turhan (2022)</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80</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-0,29</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[-0,52; -0,06]</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Industrial</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Misto</w:t>
            </w:r>
          </w:p>
        </w:tc>
      </w:tr>
      <w:tr>
        <w:tblPrEx>
          <w:shd w:val="clear" w:color="auto" w:fill="ced7e7"/>
        </w:tblPrEx>
        <w:trPr>
          <w:trHeight w:val="202" w:hRule="atLeast"/>
        </w:trPr>
        <w:tc>
          <w:tcPr>
            <w:tcW w:type="dxa" w:w="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E15</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fr-FR"/>
              </w:rPr>
              <w:t>Aniche et al. (2023)</w:t>
            </w:r>
          </w:p>
        </w:tc>
        <w:tc>
          <w:tcPr>
            <w:tcW w:type="dxa" w:w="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68</w:t>
            </w:r>
          </w:p>
        </w:tc>
        <w:tc>
          <w:tcPr>
            <w:tcW w:type="dxa" w:w="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-0,40</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[-0,64; -0,16]</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Industrial</w:t>
            </w:r>
          </w:p>
        </w:tc>
        <w:tc>
          <w:tcPr>
            <w:tcW w:type="dxa" w:w="1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Misto</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1. Estudos incluidos na meta-analise (d negativo = menos defeitos com TDD).</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2.3 Modelo estatistico: efeitos fixos vs. efeitos aleatorios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A escolha entre modelo de efeitos fixos (FE) e modelo de efeitos aleatorios (RE) e uma das decisoes mais importantes da meta-analise e deve ser feita antes de ver os dados, com base em argumentos substantivos.</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828" w:hRule="atLeast"/>
        </w:trPr>
        <w:tc>
          <w:tcPr>
            <w:tcW w:type="dxa" w:w="9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ef9e7"/>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default"/>
                <w:b w:val="0"/>
                <w:bCs w:val="0"/>
                <w:i w:val="0"/>
                <w:iCs w:val="0"/>
                <w:sz w:val="18"/>
                <w:szCs w:val="18"/>
                <w:u w:color="000000"/>
                <w:shd w:val="nil" w:color="auto" w:fill="auto"/>
                <w:rtl w:val="0"/>
              </w:rPr>
              <w:t>▶</w:t>
            </w:r>
            <w:r>
              <w:rPr>
                <w:rFonts w:ascii="Times New Roman" w:hAnsi="Times New Roman"/>
                <w:b w:val="1"/>
                <w:bCs w:val="1"/>
                <w:sz w:val="18"/>
                <w:szCs w:val="18"/>
                <w:u w:color="000000"/>
                <w:shd w:val="nil" w:color="auto" w:fill="auto"/>
                <w:rtl w:val="0"/>
              </w:rPr>
              <w:t xml:space="preserve"> </w:t>
            </w:r>
            <w:r>
              <w:rPr>
                <w:rFonts w:ascii="Times New Roman" w:hAnsi="Times New Roman"/>
                <w:b w:val="1"/>
                <w:bCs w:val="1"/>
                <w:sz w:val="18"/>
                <w:szCs w:val="18"/>
                <w:u w:color="000000"/>
                <w:shd w:val="nil" w:color="auto" w:fill="auto"/>
                <w:rtl w:val="0"/>
                <w:lang w:val="pt-PT"/>
              </w:rPr>
              <w:t>Decisao Metodologica: Por que usar modelo de efeitos aleatorios nesta meta-analise?</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18"/>
                <w:szCs w:val="18"/>
                <w:u w:color="000000"/>
                <w:shd w:val="nil" w:color="auto" w:fill="auto"/>
                <w:rtl w:val="0"/>
                <w:lang w:val="pt-PT"/>
              </w:rPr>
              <w:t xml:space="preserve">O modelo de efeitos fixos assume que todos os estudos estimam o mesmo efeito verdadeiro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 xml:space="preserve">qualquer variacao entre estudos e puro erro amostral. Isso seria razoavel se todos os 15 estudos usassem o mesmo protocolo, os mesmos participantes e o mesmo ambiente. Nao e o caso aqui: estudos academicos com estudantes iniciantes nao estimam o mesmo efeito que estudos industriais com profissionais avancados. O modelo de efeitos aleatorios assume que os estudos estimam efeitos de uma distribuicao de efeitos verdadeiros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cada estudo tem seu proprio efeito, e o efeito poolado estima a media dessa distribuicao. E o modelo adequado quando ha razoes substantivas para esperar heterogeneidade real.</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O modelo de efeitos aleatorios de DerSimonian e Laird foi aplicado, ponderando cada estudo pelo inverso de sua variancia (que incorpora tanto a variancia amostral quanto a estimativa de tau</w:t>
      </w:r>
      <w:r>
        <w:rPr>
          <w:rFonts w:ascii="Times New Roman" w:hAnsi="Times New Roman" w:hint="default"/>
          <w:sz w:val="20"/>
          <w:szCs w:val="20"/>
          <w:rtl w:val="0"/>
        </w:rPr>
        <w:t>²</w:t>
      </w:r>
      <w:r>
        <w:rPr>
          <w:rFonts w:ascii="Times New Roman" w:hAnsi="Times New Roman"/>
          <w:sz w:val="20"/>
          <w:szCs w:val="20"/>
          <w:rtl w:val="0"/>
          <w:lang w:val="pt-PT"/>
        </w:rPr>
        <w:t>, a variancia entre estudos). Os calculos foram realizados com as formulas descritas em Borenstein et al. (2009).</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2.4 Avaliacao de heterogeneidade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A heterogeneidade entre estudos e avaliada por tres estatisticas complementares: Q de Cochran (teste de significancia), I</w:t>
      </w:r>
      <w:r>
        <w:rPr>
          <w:rFonts w:ascii="Times New Roman" w:hAnsi="Times New Roman" w:hint="default"/>
          <w:sz w:val="20"/>
          <w:szCs w:val="20"/>
          <w:rtl w:val="0"/>
        </w:rPr>
        <w:t xml:space="preserve">² </w:t>
      </w:r>
      <w:r>
        <w:rPr>
          <w:rFonts w:ascii="Times New Roman" w:hAnsi="Times New Roman"/>
          <w:sz w:val="20"/>
          <w:szCs w:val="20"/>
          <w:rtl w:val="0"/>
          <w:lang w:val="pt-PT"/>
        </w:rPr>
        <w:t>(proporcao da variancia total devida a heterogeneidade real) e tau</w:t>
      </w:r>
      <w:r>
        <w:rPr>
          <w:rFonts w:ascii="Times New Roman" w:hAnsi="Times New Roman" w:hint="default"/>
          <w:sz w:val="20"/>
          <w:szCs w:val="20"/>
          <w:rtl w:val="0"/>
        </w:rPr>
        <w:t xml:space="preserve">² </w:t>
      </w:r>
      <w:r>
        <w:rPr>
          <w:rFonts w:ascii="Times New Roman" w:hAnsi="Times New Roman"/>
          <w:sz w:val="20"/>
          <w:szCs w:val="20"/>
          <w:rtl w:val="0"/>
          <w:lang w:val="pt-PT"/>
        </w:rPr>
        <w:t>(variancia entre estudos em escala do efeito). Cada uma comunica algo diferente.</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2000"/>
        <w:gridCol w:w="2600"/>
        <w:gridCol w:w="3071"/>
      </w:tblGrid>
      <w:tr>
        <w:tblPrEx>
          <w:shd w:val="clear" w:color="auto" w:fill="ced7e7"/>
        </w:tblPrEx>
        <w:trPr>
          <w:trHeight w:val="202"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b w:val="1"/>
                <w:bCs w:val="1"/>
                <w:sz w:val="18"/>
                <w:szCs w:val="18"/>
                <w:u w:color="000000"/>
                <w:shd w:val="nil" w:color="auto" w:fill="auto"/>
                <w:rtl w:val="0"/>
                <w:lang w:val="pt-PT"/>
              </w:rPr>
              <w:t>Estatistica</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pt-PT"/>
              </w:rPr>
              <w:t>Valor observado</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it-IT"/>
              </w:rPr>
              <w:t>Interpretacao</w:t>
            </w:r>
          </w:p>
        </w:tc>
        <w:tc>
          <w:tcPr>
            <w:tcW w:type="dxa" w:w="3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es-ES_tradnl"/>
              </w:rPr>
              <w:t>Limitacao</w:t>
            </w:r>
          </w:p>
        </w:tc>
      </w:tr>
      <w:tr>
        <w:tblPrEx>
          <w:shd w:val="clear" w:color="auto" w:fill="ced7e7"/>
        </w:tblPrEx>
        <w:trPr>
          <w:trHeight w:val="679"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Q de Cochran</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Q = 22,6, gl = 14, p = 0,067</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Nao rejeita homogeneidade ao nivel 0,05, mas marginal</w:t>
            </w:r>
          </w:p>
        </w:tc>
        <w:tc>
          <w:tcPr>
            <w:tcW w:type="dxa" w:w="3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 xml:space="preserve">Baixo poder com poucos estudos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nao rejeitar H0 nao significa homogeneidade</w:t>
            </w:r>
          </w:p>
        </w:tc>
      </w:tr>
      <w:tr>
        <w:tblPrEx>
          <w:shd w:val="clear" w:color="auto" w:fill="ced7e7"/>
        </w:tblPrEx>
        <w:trPr>
          <w:trHeight w:val="679"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I</w:t>
            </w:r>
            <w:r>
              <w:rPr>
                <w:rFonts w:ascii="Times New Roman" w:hAnsi="Times New Roman" w:hint="default"/>
                <w:sz w:val="18"/>
                <w:szCs w:val="18"/>
                <w:u w:color="000000"/>
                <w:shd w:val="nil" w:color="auto" w:fill="auto"/>
                <w:rtl w:val="0"/>
              </w:rPr>
              <w:t>²</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38%</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Heterogeneidade moderada: 38% da variancia total e real, nao amostral</w:t>
            </w:r>
          </w:p>
        </w:tc>
        <w:tc>
          <w:tcPr>
            <w:tcW w:type="dxa" w:w="3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Depende do N dos estudos; pode ser enganoso em corpora pequenos</w:t>
            </w:r>
          </w:p>
        </w:tc>
      </w:tr>
      <w:tr>
        <w:tblPrEx>
          <w:shd w:val="clear" w:color="auto" w:fill="ced7e7"/>
        </w:tblPrEx>
        <w:trPr>
          <w:trHeight w:val="679"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de-DE"/>
              </w:rPr>
              <w:t>tau</w:t>
            </w:r>
            <w:r>
              <w:rPr>
                <w:rFonts w:ascii="Times New Roman" w:hAnsi="Times New Roman" w:hint="default"/>
                <w:sz w:val="18"/>
                <w:szCs w:val="18"/>
                <w:u w:color="000000"/>
                <w:shd w:val="nil" w:color="auto" w:fill="auto"/>
                <w:rtl w:val="0"/>
              </w:rPr>
              <w:t>²</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0,021</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Variancia real entre efeitos verdadeiros e de magnitude moderada</w:t>
            </w:r>
          </w:p>
        </w:tc>
        <w:tc>
          <w:tcPr>
            <w:tcW w:type="dxa" w:w="3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Estimativa imprecisa com apenas 15 estudos</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2. Estatisticas de heterogeneidade.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Um I</w:t>
      </w:r>
      <w:r>
        <w:rPr>
          <w:rFonts w:ascii="Times New Roman" w:hAnsi="Times New Roman" w:hint="default"/>
          <w:sz w:val="20"/>
          <w:szCs w:val="20"/>
          <w:rtl w:val="0"/>
        </w:rPr>
        <w:t xml:space="preserve">² </w:t>
      </w:r>
      <w:r>
        <w:rPr>
          <w:rFonts w:ascii="Times New Roman" w:hAnsi="Times New Roman"/>
          <w:sz w:val="20"/>
          <w:szCs w:val="20"/>
          <w:rtl w:val="0"/>
          <w:lang w:val="pt-PT"/>
        </w:rPr>
        <w:t xml:space="preserve">de 38% indica que a heterogeneidade e real e substancial o suficiente para ser investigada </w:t>
      </w:r>
      <w:r>
        <w:rPr>
          <w:rFonts w:ascii="Times New Roman" w:hAnsi="Times New Roman" w:hint="default"/>
          <w:sz w:val="20"/>
          <w:szCs w:val="20"/>
          <w:rtl w:val="0"/>
          <w:lang w:val="en-US"/>
        </w:rPr>
        <w:t xml:space="preserve">— </w:t>
      </w:r>
      <w:r>
        <w:rPr>
          <w:rFonts w:ascii="Times New Roman" w:hAnsi="Times New Roman"/>
          <w:sz w:val="20"/>
          <w:szCs w:val="20"/>
          <w:rtl w:val="0"/>
          <w:lang w:val="pt-PT"/>
        </w:rPr>
        <w:t>mas nao tao alta (acima de 75%) que tornaria o efeito poolado sem sentido. A investigacao da fonte de heterogeneidade foi conduzida por metarregressao, descrita na secao 2.5.</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2.5 Metarregressao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A metarregressao e uma extensao da meta-analise que examina se caracteristicas dos estudos (moderadores) explicam a variabilidade dos efeitos. Dois moderadores foram investigados: contexto de aplicacao (academico vs. industrial) e nivel de experiencia dos participantes com TDD (iniciante, intermediario, avancado ou misto).</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200"/>
        <w:gridCol w:w="1400"/>
        <w:gridCol w:w="1700"/>
        <w:gridCol w:w="971"/>
      </w:tblGrid>
      <w:tr>
        <w:tblPrEx>
          <w:shd w:val="clear" w:color="auto" w:fill="ced7e7"/>
        </w:tblPrEx>
        <w:trPr>
          <w:trHeight w:val="441"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pt-PT"/>
              </w:rPr>
              <w:t>Moderador</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pt-PT"/>
              </w:rPr>
              <w:t>Niveis</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b w:val="1"/>
                <w:bCs w:val="1"/>
                <w:sz w:val="18"/>
                <w:szCs w:val="18"/>
                <w:u w:color="000000"/>
                <w:shd w:val="nil" w:color="auto" w:fill="auto"/>
                <w:rtl w:val="0"/>
                <w:lang w:val="es-ES_tradnl"/>
              </w:rPr>
              <w:t>d medio por nivel</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pt-PT"/>
              </w:rPr>
              <w:t>Diferenca (IC 95%)</w:t>
            </w:r>
          </w:p>
        </w:tc>
        <w:tc>
          <w:tcPr>
            <w:tcW w:type="dxa" w:w="9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b w:val="1"/>
                <w:bCs w:val="1"/>
                <w:sz w:val="18"/>
                <w:szCs w:val="18"/>
                <w:u w:color="000000"/>
                <w:shd w:val="nil" w:color="auto" w:fill="auto"/>
                <w:rtl w:val="0"/>
                <w:lang w:val="pt-PT"/>
              </w:rPr>
              <w:t>p-valor</w:t>
            </w:r>
          </w:p>
        </w:tc>
      </w:tr>
      <w:tr>
        <w:tblPrEx>
          <w:shd w:val="clear" w:color="auto" w:fill="ced7e7"/>
        </w:tblPrEx>
        <w:trPr>
          <w:trHeight w:val="601"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Contexto</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it-IT"/>
              </w:rPr>
              <w:t>Academico (n=9): d = -0,42</w:t>
            </w:r>
          </w:p>
          <w:p>
            <w:pPr>
              <w:pStyle w:val="Padrão"/>
              <w:bidi w:val="0"/>
            </w:pPr>
            <w:r>
              <w:rPr>
                <w:rFonts w:ascii="Times New Roman" w:hAnsi="Times New Roman"/>
                <w:sz w:val="18"/>
                <w:szCs w:val="18"/>
                <w:u w:color="000000"/>
                <w:shd w:val="nil" w:color="auto" w:fill="auto"/>
                <w:rtl w:val="0"/>
                <w:lang w:val="pt-PT"/>
              </w:rPr>
              <w:t>Industrial (n=6): d = -0,30</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hint="default"/>
                <w:sz w:val="18"/>
                <w:szCs w:val="18"/>
                <w:u w:color="000000"/>
                <w:shd w:val="nil" w:color="auto" w:fill="auto"/>
                <w:rtl w:val="0"/>
                <w:lang w:val="en-US"/>
              </w:rPr>
              <w:t>—</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0,12 [-0,02; 0,26]</w:t>
            </w:r>
          </w:p>
        </w:tc>
        <w:tc>
          <w:tcPr>
            <w:tcW w:type="dxa" w:w="9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0,089</w:t>
            </w:r>
          </w:p>
        </w:tc>
      </w:tr>
      <w:tr>
        <w:tblPrEx>
          <w:shd w:val="clear" w:color="auto" w:fill="ced7e7"/>
        </w:tblPrEx>
        <w:trPr>
          <w:trHeight w:val="1398"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Experiencia com TDD</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pt-PT"/>
              </w:rPr>
              <w:t>Iniciante (n=5): d = -0,47</w:t>
            </w: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it-IT"/>
              </w:rPr>
              <w:t>Misto (n=6): d = -0,39</w:t>
            </w: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es-ES_tradnl"/>
              </w:rPr>
              <w:t>Intermediario (n=2): d = -0,35</w:t>
            </w:r>
          </w:p>
          <w:p>
            <w:pPr>
              <w:pStyle w:val="Padrão"/>
              <w:bidi w:val="0"/>
            </w:pPr>
            <w:r>
              <w:rPr>
                <w:rFonts w:ascii="Times New Roman" w:hAnsi="Times New Roman"/>
                <w:sz w:val="18"/>
                <w:szCs w:val="18"/>
                <w:u w:color="000000"/>
                <w:shd w:val="nil" w:color="auto" w:fill="auto"/>
                <w:rtl w:val="0"/>
                <w:lang w:val="pt-PT"/>
              </w:rPr>
              <w:t>Avancado (n=2): d = -0,17</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hint="default"/>
                <w:sz w:val="18"/>
                <w:szCs w:val="18"/>
                <w:u w:color="000000"/>
                <w:shd w:val="nil" w:color="auto" w:fill="auto"/>
                <w:rtl w:val="0"/>
                <w:lang w:val="en-US"/>
              </w:rPr>
              <w:t>—</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0,30 [0,08; 0,52] (iniciante vs. avancado)</w:t>
            </w:r>
          </w:p>
        </w:tc>
        <w:tc>
          <w:tcPr>
            <w:tcW w:type="dxa" w:w="9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0,009</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3. Resultados da metarregressao por moderador.</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moderador 'experiencia com TDD' foi estatisticamente significativo: participantes iniciantes mostram efeito consideravelmente maior (d = -0,47) do que participantes avancados (d = -0,17). Uma hipotese explicativa e que iniciantes cometem mais defeitos sem TDD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o baseline e mais alto </w:t>
      </w:r>
      <w:r>
        <w:rPr>
          <w:rFonts w:ascii="Times New Roman" w:hAnsi="Times New Roman" w:hint="default"/>
          <w:sz w:val="20"/>
          <w:szCs w:val="20"/>
          <w:rtl w:val="0"/>
          <w:lang w:val="en-US"/>
        </w:rPr>
        <w:t xml:space="preserve">— </w:t>
      </w:r>
      <w:r>
        <w:rPr>
          <w:rFonts w:ascii="Times New Roman" w:hAnsi="Times New Roman"/>
          <w:sz w:val="20"/>
          <w:szCs w:val="20"/>
          <w:rtl w:val="0"/>
          <w:lang w:val="pt-PT"/>
        </w:rPr>
        <w:t>e portanto o ganho percentual de TDD e maior. Profissionais avancados ja adotam disciplina de teste mesmo sem TDD formal, reduzindo a diferenca.</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O moderador 'contexto' nao atingiu significancia ao nivel 0,05 (p = 0,089), mas a direcao e consistente com a hipotese de que estudos academicos superestimam o efeito. Esse resultado deve ser tratado com cautela: o poder da metarregressao com apenas 6 estudos industriais e limitado para detectar diferencas moderadas.</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828" w:hRule="atLeast"/>
        </w:trPr>
        <w:tc>
          <w:tcPr>
            <w:tcW w:type="dxa" w:w="9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ef9e7"/>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default"/>
                <w:b w:val="0"/>
                <w:bCs w:val="0"/>
                <w:i w:val="0"/>
                <w:iCs w:val="0"/>
                <w:sz w:val="18"/>
                <w:szCs w:val="18"/>
                <w:u w:color="000000"/>
                <w:shd w:val="nil" w:color="auto" w:fill="auto"/>
                <w:rtl w:val="0"/>
              </w:rPr>
              <w:t>▶</w:t>
            </w:r>
            <w:r>
              <w:rPr>
                <w:rFonts w:ascii="Times New Roman" w:hAnsi="Times New Roman"/>
                <w:b w:val="1"/>
                <w:bCs w:val="1"/>
                <w:sz w:val="18"/>
                <w:szCs w:val="18"/>
                <w:u w:color="000000"/>
                <w:shd w:val="nil" w:color="auto" w:fill="auto"/>
                <w:rtl w:val="0"/>
              </w:rPr>
              <w:t xml:space="preserve"> </w:t>
            </w:r>
            <w:r>
              <w:rPr>
                <w:rFonts w:ascii="Times New Roman" w:hAnsi="Times New Roman"/>
                <w:b w:val="1"/>
                <w:bCs w:val="1"/>
                <w:sz w:val="18"/>
                <w:szCs w:val="18"/>
                <w:u w:color="000000"/>
                <w:shd w:val="nil" w:color="auto" w:fill="auto"/>
                <w:rtl w:val="0"/>
                <w:lang w:val="pt-PT"/>
              </w:rPr>
              <w:t>Decisao Metodologica: Por que metarregressao nao prova causalidade entre moderador e efeito?</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18"/>
                <w:szCs w:val="18"/>
                <w:u w:color="000000"/>
                <w:shd w:val="nil" w:color="auto" w:fill="auto"/>
                <w:rtl w:val="0"/>
                <w:lang w:val="pt-PT"/>
              </w:rPr>
              <w:t xml:space="preserve">Metarregressao correlaciona caracteristicas dos estudos com a magnitude do efeito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 xml:space="preserve">e uma analise observacional sobre estudos, nao sobre participantes. A relacao entre 'estudos academicos' e 'maior efeito' pode refletir confundidores: estudos academicos tendem a ter amostras menores (maior variabilidade), participantes com menos experiencia previa (maior baseline de defeitos) e protocolos mais controlados. Isolar o efeito do contexto em si exigiria um experimento que randomizasse o mesmo conjunto de participantes entre contextos academico e industrial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o que e, evidentemente, impossivel.</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rPr>
        <w:t>3. RESULTADOS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3.1 Efeito poolado e forest plot (RQ1 e RQ2)</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efeito poolado sob o modelo de efeitos aleatorios foi d = -0,37 (IC 95%: [-0,52, -0,22], Z = 4,73, p &lt; 0,001). O sinal negativo indica que TDD esta associado a menor densidade de defeitos. A magnitude </w:t>
      </w:r>
      <w:r>
        <w:rPr>
          <w:rFonts w:ascii="Times New Roman" w:hAnsi="Times New Roman" w:hint="default"/>
          <w:sz w:val="20"/>
          <w:szCs w:val="20"/>
          <w:rtl w:val="0"/>
          <w:lang w:val="en-US"/>
        </w:rPr>
        <w:t xml:space="preserve">— </w:t>
      </w:r>
      <w:r>
        <w:rPr>
          <w:rFonts w:ascii="Times New Roman" w:hAnsi="Times New Roman"/>
          <w:sz w:val="20"/>
          <w:szCs w:val="20"/>
          <w:rtl w:val="0"/>
        </w:rPr>
        <w:t xml:space="preserve">d = 0,37 </w:t>
      </w:r>
      <w:r>
        <w:rPr>
          <w:rFonts w:ascii="Times New Roman" w:hAnsi="Times New Roman" w:hint="default"/>
          <w:sz w:val="20"/>
          <w:szCs w:val="20"/>
          <w:rtl w:val="0"/>
          <w:lang w:val="en-US"/>
        </w:rPr>
        <w:t xml:space="preserve">— </w:t>
      </w:r>
      <w:r>
        <w:rPr>
          <w:rFonts w:ascii="Times New Roman" w:hAnsi="Times New Roman"/>
          <w:sz w:val="20"/>
          <w:szCs w:val="20"/>
          <w:rtl w:val="0"/>
          <w:lang w:val="pt-PT"/>
        </w:rPr>
        <w:t>e classificada como pequena a moderada pela convencao de Cohen (1988), onde d = 0,20 e pequeno, d = 0,50 e moderado e d = 0,80 e grande.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A Figura 2 apresenta o forest plot </w:t>
      </w:r>
      <w:r>
        <w:rPr>
          <w:rFonts w:ascii="Times New Roman" w:hAnsi="Times New Roman" w:hint="default"/>
          <w:sz w:val="20"/>
          <w:szCs w:val="20"/>
          <w:rtl w:val="0"/>
          <w:lang w:val="en-US"/>
        </w:rPr>
        <w:t xml:space="preserve">— </w:t>
      </w:r>
      <w:r>
        <w:rPr>
          <w:rFonts w:ascii="Times New Roman" w:hAnsi="Times New Roman"/>
          <w:sz w:val="20"/>
          <w:szCs w:val="20"/>
          <w:rtl w:val="0"/>
          <w:lang w:val="pt-PT"/>
        </w:rPr>
        <w:t>a visualizacao central da meta-analise. Ela exibe simultaneamente o efeito de cada estudo, seu intervalo de confianca de 95%, seu peso relativo na sintese e o efeito poolado (diamante vermelho na base).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762625" cy="4610100"/>
            <wp:effectExtent l="0" t="0" r="0" b="0"/>
            <wp:docPr id="1073741826" name="officeArt object" descr="d3fd4665c9f43e4923854bc64bdd02703d84f7b9.png"/>
            <wp:cNvGraphicFramePr/>
            <a:graphic xmlns:a="http://schemas.openxmlformats.org/drawingml/2006/main">
              <a:graphicData uri="http://schemas.openxmlformats.org/drawingml/2006/picture">
                <pic:pic xmlns:pic="http://schemas.openxmlformats.org/drawingml/2006/picture">
                  <pic:nvPicPr>
                    <pic:cNvPr id="1073741826" name="d3fd4665c9f43e4923854bc64bdd02703d84f7b9.png" descr="d3fd4665c9f43e4923854bc64bdd02703d84f7b9.png"/>
                    <pic:cNvPicPr>
                      <a:picLocks noChangeAspect="1"/>
                    </pic:cNvPicPr>
                  </pic:nvPicPr>
                  <pic:blipFill>
                    <a:blip r:embed="rId5">
                      <a:extLst/>
                    </a:blip>
                    <a:stretch>
                      <a:fillRect/>
                    </a:stretch>
                  </pic:blipFill>
                  <pic:spPr>
                    <a:xfrm>
                      <a:off x="0" y="0"/>
                      <a:ext cx="5762625" cy="4610100"/>
                    </a:xfrm>
                    <a:prstGeom prst="rect">
                      <a:avLst/>
                    </a:prstGeom>
                    <a:ln w="12700" cap="flat">
                      <a:noFill/>
                      <a:miter lim="400000"/>
                    </a:ln>
                    <a:effectLst/>
                  </pic:spPr>
                </pic:pic>
              </a:graphicData>
            </a:graphic>
          </wp:inline>
        </w:drawing>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429" w:hRule="atLeast"/>
        </w:trPr>
        <w:tc>
          <w:tcPr>
            <w:tcW w:type="dxa" w:w="9071"/>
            <w:tcBorders>
              <w:top w:val="single" w:color="aed6f1" w:sz="4" w:space="0" w:shadow="0" w:frame="0"/>
              <w:left w:val="single" w:color="aed6f1" w:sz="4" w:space="0" w:shadow="0" w:frame="0"/>
              <w:bottom w:val="single" w:color="aed6f1" w:sz="4" w:space="0" w:shadow="0" w:frame="0"/>
              <w:right w:val="single" w:color="aed6f1" w:sz="4" w:space="0" w:shadow="0" w:frame="0"/>
            </w:tcBorders>
            <w:shd w:val="clear" w:color="auto" w:fill="ebf5fb"/>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Unicode MS" w:cs="Arial Unicode MS" w:hAnsi="Arial Unicode MS" w:eastAsia="Arial Unicode MS" w:hint="default"/>
                <w:b w:val="0"/>
                <w:bCs w:val="0"/>
                <w:i w:val="0"/>
                <w:iCs w:val="0"/>
                <w:sz w:val="18"/>
                <w:szCs w:val="18"/>
                <w:u w:color="000000"/>
                <w:shd w:val="nil" w:color="auto" w:fill="auto"/>
                <w:rtl w:val="0"/>
              </w:rPr>
              <w:t>▶</w:t>
            </w:r>
            <w:r>
              <w:rPr>
                <w:rFonts w:ascii="Times New Roman" w:hAnsi="Times New Roman"/>
                <w:b w:val="1"/>
                <w:bCs w:val="1"/>
                <w:sz w:val="18"/>
                <w:szCs w:val="18"/>
                <w:u w:color="000000"/>
                <w:shd w:val="nil" w:color="auto" w:fill="auto"/>
                <w:rtl w:val="0"/>
              </w:rPr>
              <w:t xml:space="preserve"> </w:t>
            </w:r>
            <w:r>
              <w:rPr>
                <w:rFonts w:ascii="Times New Roman" w:hAnsi="Times New Roman"/>
                <w:b w:val="1"/>
                <w:bCs w:val="1"/>
                <w:sz w:val="18"/>
                <w:szCs w:val="18"/>
                <w:u w:color="000000"/>
                <w:shd w:val="nil" w:color="auto" w:fill="auto"/>
                <w:rtl w:val="0"/>
                <w:lang w:val="it-IT"/>
              </w:rPr>
              <w:t xml:space="preserve">Como ler este grafico: </w:t>
            </w:r>
            <w:r>
              <w:rPr>
                <w:rFonts w:ascii="Times New Roman" w:hAnsi="Times New Roman"/>
                <w:sz w:val="18"/>
                <w:szCs w:val="18"/>
                <w:u w:color="000000"/>
                <w:shd w:val="nil" w:color="auto" w:fill="auto"/>
                <w:rtl w:val="0"/>
                <w:lang w:val="pt-PT"/>
              </w:rPr>
              <w:t xml:space="preserve">Cada linha representa um estudo. O quadrado colorido e o estimativa pontual do efeito (d de Cohen); a linha horizontal e o intervalo de confianca de 95%. Quadrados azuis: IC inteiramente a esquerda de zero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 xml:space="preserve">o estudo favorece TDD com significancia estatistica. Quadrados cinzas: IC cruza o zero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o estudo nao tem evidencia significativa de efeito. O tamanho do quadrado e proporcional ao peso do estudo na meta-analise (estudos com maior N e menor variancia tem quadrados maiores). O diamante vermelho na base representa o efeito poolado: sua largura e o IC 95% do efeito agregado. Quanto mais estreito o diamante, mais precisa a estimativa.</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Dez dos 15 estudos apresentam ICs inteiramente negativos, favorecendo TDD com significancia estatistica individual. Os cinco estudos cujos ICs cruzam a linha nula (George &amp; Williams 2003, Erdogmus et al. 2005, Causevic et al. 2011, Fucci et al. 2017, Ghafari et al. 2020) nao contradizem a direcao do efeito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seus pontos centrais sao todos negativos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mas tem poder insuficiente para rejeitar a hipotese nula individualmente. E exatamente aqui que a meta-analise acrescenta valor: ao combinar esses estudos com os demais, o efeito agregado alcanca alta precisao e significancia mesmo incluindo os estudos individualmente inconclusivos.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Dois estudos merecem comentario especifico. Fucci et al. (2017) e o unico estudo industrial com participantes avancados em TDD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e o que apresenta o menor efeito (d = -0,12). Isso e consistente com o resultado da metarregressao: participantes avancados ja tem praticas de teste incorporadas, reduzindo o diferencial de TDD. Muller &amp; Hagner (2002), por sua vez, tem o maior efeito estimado (d = -0,62), mas tambem o maior IC </w:t>
      </w:r>
      <w:r>
        <w:rPr>
          <w:rFonts w:ascii="Times New Roman" w:hAnsi="Times New Roman" w:hint="default"/>
          <w:sz w:val="20"/>
          <w:szCs w:val="20"/>
          <w:rtl w:val="0"/>
          <w:lang w:val="en-US"/>
        </w:rPr>
        <w:t xml:space="preserve">— </w:t>
      </w:r>
      <w:r>
        <w:rPr>
          <w:rFonts w:ascii="Times New Roman" w:hAnsi="Times New Roman"/>
          <w:sz w:val="20"/>
          <w:szCs w:val="20"/>
          <w:rtl w:val="0"/>
          <w:lang w:val="pt-PT"/>
        </w:rPr>
        <w:t>e um dos estudos com menor N (24 participantes). A precisao muito baixa faz com que seu peso na sintese seja pequeno (4,2%), limitando sua influencia sobre o efeito poolado.</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555" w:hRule="atLeast"/>
        </w:trPr>
        <w:tc>
          <w:tcPr>
            <w:tcW w:type="dxa" w:w="9071"/>
            <w:tcBorders>
              <w:top w:val="single" w:color="000000" w:sz="4" w:space="0" w:shadow="0" w:frame="0"/>
              <w:left w:val="single" w:color="555555" w:sz="12" w:space="0" w:shadow="0" w:frame="0"/>
              <w:bottom w:val="single" w:color="000000" w:sz="4" w:space="0" w:shadow="0" w:frame="0"/>
              <w:right w:val="single" w:color="000000" w:sz="4" w:space="0" w:shadow="0" w:frame="0"/>
            </w:tcBorders>
            <w:shd w:val="clear" w:color="auto" w:fill="f0f0f0"/>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b w:val="1"/>
                <w:bCs w:val="1"/>
                <w:sz w:val="18"/>
                <w:szCs w:val="18"/>
                <w:u w:color="000000"/>
                <w:shd w:val="nil" w:color="auto" w:fill="auto"/>
                <w:rtl w:val="0"/>
                <w:lang w:val="pt-PT"/>
              </w:rPr>
              <w:t>O que o forest plot comunica que uma tabela de resultados nao comunica</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18"/>
                <w:szCs w:val="18"/>
                <w:u w:color="000000"/>
                <w:shd w:val="nil" w:color="auto" w:fill="auto"/>
                <w:rtl w:val="0"/>
                <w:lang w:val="pt-PT"/>
              </w:rPr>
              <w:t>Uma tabela listaria os d e os p-valores de cada estudo. O forest plot acrescenta tres dimensoes simultaneas: a direcao e magnitude do efeito (posicao horizontal), a incerteza ao redor dessa estimativa (largura do IC), e o peso relativo de cada estudo na sintese (tamanho do quadrado). Ver esses tres elementos juntos permite identificar em segundos quais estudos dominam a sintese, quais sao inconclusivos por falta de poder, e se ha algum outlier com efeito muito diferente dos demais. Nenhuma tabela numerica transmite essa gestalt de forma tao eficiente.</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it-IT"/>
        </w:rPr>
        <w:t>3.2 Vies de publicacao e funnel plot (RQ2)</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Vies de publicacao ocorre quando estudos com resultados significativos tem maior probabilidade de ser publicados do que estudos com resultados nulos. Se presente, ele infla o efeito poolado, pois os estudos nulos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que apontariam para d proximos de zero </w:t>
      </w:r>
      <w:r>
        <w:rPr>
          <w:rFonts w:ascii="Times New Roman" w:hAnsi="Times New Roman" w:hint="default"/>
          <w:sz w:val="20"/>
          <w:szCs w:val="20"/>
          <w:rtl w:val="0"/>
          <w:lang w:val="en-US"/>
        </w:rPr>
        <w:t xml:space="preserve">— </w:t>
      </w:r>
      <w:r>
        <w:rPr>
          <w:rFonts w:ascii="Times New Roman" w:hAnsi="Times New Roman"/>
          <w:sz w:val="20"/>
          <w:szCs w:val="20"/>
          <w:rtl w:val="0"/>
          <w:lang w:val="es-ES_tradnl"/>
        </w:rPr>
        <w:t>estao sub-representados no corpus.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A Figura 3 apresenta o funnel plot, a principal ferramenta visual de avaliacao de vies de publicacao em meta-analise.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762625" cy="4429125"/>
            <wp:effectExtent l="0" t="0" r="0" b="0"/>
            <wp:docPr id="1073741827" name="officeArt object" descr="b1240b5762e5dad18b12be147f62d46106fcf40e.png"/>
            <wp:cNvGraphicFramePr/>
            <a:graphic xmlns:a="http://schemas.openxmlformats.org/drawingml/2006/main">
              <a:graphicData uri="http://schemas.openxmlformats.org/drawingml/2006/picture">
                <pic:pic xmlns:pic="http://schemas.openxmlformats.org/drawingml/2006/picture">
                  <pic:nvPicPr>
                    <pic:cNvPr id="1073741827" name="b1240b5762e5dad18b12be147f62d46106fcf40e.png" descr="b1240b5762e5dad18b12be147f62d46106fcf40e.png"/>
                    <pic:cNvPicPr>
                      <a:picLocks noChangeAspect="1"/>
                    </pic:cNvPicPr>
                  </pic:nvPicPr>
                  <pic:blipFill>
                    <a:blip r:embed="rId6">
                      <a:extLst/>
                    </a:blip>
                    <a:stretch>
                      <a:fillRect/>
                    </a:stretch>
                  </pic:blipFill>
                  <pic:spPr>
                    <a:xfrm>
                      <a:off x="0" y="0"/>
                      <a:ext cx="5762625" cy="4429125"/>
                    </a:xfrm>
                    <a:prstGeom prst="rect">
                      <a:avLst/>
                    </a:prstGeom>
                    <a:ln w="12700" cap="flat">
                      <a:noFill/>
                      <a:miter lim="400000"/>
                    </a:ln>
                    <a:effectLst/>
                  </pic:spPr>
                </pic:pic>
              </a:graphicData>
            </a:graphic>
          </wp:inline>
        </w:drawing>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668" w:hRule="atLeast"/>
        </w:trPr>
        <w:tc>
          <w:tcPr>
            <w:tcW w:type="dxa" w:w="9071"/>
            <w:tcBorders>
              <w:top w:val="single" w:color="aed6f1" w:sz="4" w:space="0" w:shadow="0" w:frame="0"/>
              <w:left w:val="single" w:color="aed6f1" w:sz="4" w:space="0" w:shadow="0" w:frame="0"/>
              <w:bottom w:val="single" w:color="aed6f1" w:sz="4" w:space="0" w:shadow="0" w:frame="0"/>
              <w:right w:val="single" w:color="aed6f1" w:sz="4" w:space="0" w:shadow="0" w:frame="0"/>
            </w:tcBorders>
            <w:shd w:val="clear" w:color="auto" w:fill="ebf5fb"/>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Unicode MS" w:cs="Arial Unicode MS" w:hAnsi="Arial Unicode MS" w:eastAsia="Arial Unicode MS" w:hint="default"/>
                <w:b w:val="0"/>
                <w:bCs w:val="0"/>
                <w:i w:val="0"/>
                <w:iCs w:val="0"/>
                <w:sz w:val="18"/>
                <w:szCs w:val="18"/>
                <w:u w:color="000000"/>
                <w:shd w:val="nil" w:color="auto" w:fill="auto"/>
                <w:rtl w:val="0"/>
              </w:rPr>
              <w:t>▶</w:t>
            </w:r>
            <w:r>
              <w:rPr>
                <w:rFonts w:ascii="Times New Roman" w:hAnsi="Times New Roman"/>
                <w:b w:val="1"/>
                <w:bCs w:val="1"/>
                <w:sz w:val="18"/>
                <w:szCs w:val="18"/>
                <w:u w:color="000000"/>
                <w:shd w:val="nil" w:color="auto" w:fill="auto"/>
                <w:rtl w:val="0"/>
              </w:rPr>
              <w:t xml:space="preserve"> </w:t>
            </w:r>
            <w:r>
              <w:rPr>
                <w:rFonts w:ascii="Times New Roman" w:hAnsi="Times New Roman"/>
                <w:b w:val="1"/>
                <w:bCs w:val="1"/>
                <w:sz w:val="18"/>
                <w:szCs w:val="18"/>
                <w:u w:color="000000"/>
                <w:shd w:val="nil" w:color="auto" w:fill="auto"/>
                <w:rtl w:val="0"/>
                <w:lang w:val="it-IT"/>
              </w:rPr>
              <w:t xml:space="preserve">Como ler este grafico: </w:t>
            </w:r>
            <w:r>
              <w:rPr>
                <w:rFonts w:ascii="Times New Roman" w:hAnsi="Times New Roman"/>
                <w:sz w:val="18"/>
                <w:szCs w:val="18"/>
                <w:u w:color="000000"/>
                <w:shd w:val="nil" w:color="auto" w:fill="auto"/>
                <w:rtl w:val="0"/>
                <w:lang w:val="pt-PT"/>
              </w:rPr>
              <w:t xml:space="preserve">O eixo horizontal e o efeito estimado (d de Cohen) de cada estudo. O eixo vertical e o erro padrao (SE)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 xml:space="preserve">estudos com amostras maiores tem SE menor e ficam mais proximos do topo; estudos com amostras menores tem SE maior e ficam na base. O triangulo tracejado delimitado pelas linhas cinzas e a regiao onde esperamos encontrar 95% dos estudos na ausencia de vies (margem de +/-1,96 SE ao redor do efeito poolado). Na ausencia de vies, os pontos devem se distribuir simetricamente ao redor da linha vermelha (efeito poolado). Assimetria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 xml:space="preserve">especialmente ausencia de pontos no canto inferior direito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sugere que estudos pequenos com efeito nulo ou contrario nao foram publicados.</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funnel plot apresenta leve assimetria: ha menos pontos no canto inferior esquerdo (estudos pequenos com efeito muito grande favoravel ao TDD) do que no canto inferior direito (estudos pequenos com efeito pequeno ou nulo). Essa assimetria pode refletir vies de publicacao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estudos pequenos com resultados favoraveis publicados, estudos pequenos com resultados nulos nao publicados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ou pode refletir heterogeneidade real moderada por caracteristicas dos estudos menores (que tendem a ser mais academicos e com participantes iniciantes).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teste de Egger (regressao do efeito padronizado no erro padrao) resultou em intercepto = 1,42 (IC 95%: [0,18; 2,66], p = 0,027), sugerindo assimetria estatisticamente significativa. Isso indica que o efeito poolado pode estar levemente inflado por vies de publicacao. A correcao de trim-and-fill de Duval e Tweedie estimou 3 estudos ausentes na regiao inferior esquerda, ajustando o efeito para d = -0,31 (IC 95%: [-0,47; -0,15]) </w:t>
      </w:r>
      <w:r>
        <w:rPr>
          <w:rFonts w:ascii="Times New Roman" w:hAnsi="Times New Roman" w:hint="default"/>
          <w:sz w:val="20"/>
          <w:szCs w:val="20"/>
          <w:rtl w:val="0"/>
          <w:lang w:val="en-US"/>
        </w:rPr>
        <w:t xml:space="preserve">— </w:t>
      </w:r>
      <w:r>
        <w:rPr>
          <w:rFonts w:ascii="Times New Roman" w:hAnsi="Times New Roman"/>
          <w:sz w:val="20"/>
          <w:szCs w:val="20"/>
          <w:rtl w:val="0"/>
          <w:lang w:val="pt-PT"/>
        </w:rPr>
        <w:t>ainda significativo e na mesma direcao, mas com magnitude reduzida.</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rPr>
        <w:t>4. DISCUSSAO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4.1 O que a meta-analise permite concluir</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A evidencia acumulada em 15 experimentos e consistente com a hipotese de que TDD reduz a densidade de defeitos, com efeito de magnitude pequena a moderada (d = -0,37 apos correcao para vies: d = -0,31). Esse resultado e robusto: persiste apos a correcao de trim-and-fill, esta presente tanto em contextos academicos quanto industriais (com diferenca de magnitude), e a heterogeneidade e suficientemente moderada para que o efeito poolado seja interpretavel.</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resultado da metarregressao sobre experiencia com TDD e o achado mais acionavel: o efeito e maior para iniciantes (d = -0,47) e menor para avancados (d = -0,17). Para um gerente de engenharia decidindo se implementa TDD em sua equipe, isso sugere que o beneficio de qualidade sera maior se a equipe ainda nao tem praticas sistematicas de testes </w:t>
      </w:r>
      <w:r>
        <w:rPr>
          <w:rFonts w:ascii="Times New Roman" w:hAnsi="Times New Roman" w:hint="default"/>
          <w:sz w:val="20"/>
          <w:szCs w:val="20"/>
          <w:rtl w:val="0"/>
          <w:lang w:val="en-US"/>
        </w:rPr>
        <w:t xml:space="preserve">— </w:t>
      </w:r>
      <w:r>
        <w:rPr>
          <w:rFonts w:ascii="Times New Roman" w:hAnsi="Times New Roman"/>
          <w:sz w:val="20"/>
          <w:szCs w:val="20"/>
          <w:rtl w:val="0"/>
          <w:lang w:val="pt-PT"/>
        </w:rPr>
        <w:t>e que o efeito pode ser pequeno em equipes ja maduras em testes automatizados.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4.2 O que a meta-analise nao pode responder</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A meta-analise responde se TDD reduz defeitos em media, no corpus de estudos disponivel. Ela nao responde por que o efeito ocorre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essa e uma pergunta mecanistica que exigiria estudo de processo, nao de resultado. Ela tambem nao responde quanto tempo adicional de desenvolvimento TDD exige e se o trade-off e favoravel em diferentes contextos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essa dimensao foi investigada em outras meta-analises sobre produtividade que nao fazem parte deste corpus.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Tambem e importante notar o que o I</w:t>
      </w:r>
      <w:r>
        <w:rPr>
          <w:rFonts w:ascii="Times New Roman" w:hAnsi="Times New Roman" w:hint="default"/>
          <w:sz w:val="20"/>
          <w:szCs w:val="20"/>
          <w:rtl w:val="0"/>
        </w:rPr>
        <w:t xml:space="preserve">² </w:t>
      </w:r>
      <w:r>
        <w:rPr>
          <w:rFonts w:ascii="Times New Roman" w:hAnsi="Times New Roman"/>
          <w:sz w:val="20"/>
          <w:szCs w:val="20"/>
          <w:rtl w:val="0"/>
          <w:lang w:val="pt-PT"/>
        </w:rPr>
        <w:t xml:space="preserve">de 38% implica: ha variabilidade real entre os efeitos verdadeiros dos estudos. O efeito poolado e a media estimada de uma distribuicao de efeitos, nao um efeito unico que se reproduziria identicamente em qualquer contexto. Para um novo estudo realizado em um contexto especifico, o efeito esperado pode estar em qualquer ponto do intervalo de predicao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que e mais largo do que o IC do efeito poolado </w:t>
      </w:r>
      <w:r>
        <w:rPr>
          <w:rFonts w:ascii="Times New Roman" w:hAnsi="Times New Roman" w:hint="default"/>
          <w:sz w:val="20"/>
          <w:szCs w:val="20"/>
          <w:rtl w:val="0"/>
          <w:lang w:val="en-US"/>
        </w:rPr>
        <w:t xml:space="preserve">— </w:t>
      </w:r>
      <w:r>
        <w:rPr>
          <w:rFonts w:ascii="Times New Roman" w:hAnsi="Times New Roman"/>
          <w:sz w:val="20"/>
          <w:szCs w:val="20"/>
          <w:rtl w:val="0"/>
          <w:lang w:val="pt-PT"/>
        </w:rPr>
        <w:t>tipicamente entre d = -0,70 e d = +0,05 para este corpus.</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793" w:hRule="atLeast"/>
        </w:trPr>
        <w:tc>
          <w:tcPr>
            <w:tcW w:type="dxa" w:w="9071"/>
            <w:tcBorders>
              <w:top w:val="single" w:color="000000" w:sz="4" w:space="0" w:shadow="0" w:frame="0"/>
              <w:left w:val="single" w:color="555555" w:sz="12" w:space="0" w:shadow="0" w:frame="0"/>
              <w:bottom w:val="single" w:color="000000" w:sz="4" w:space="0" w:shadow="0" w:frame="0"/>
              <w:right w:val="single" w:color="000000" w:sz="4" w:space="0" w:shadow="0" w:frame="0"/>
            </w:tcBorders>
            <w:shd w:val="clear" w:color="auto" w:fill="f0f0f0"/>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b w:val="1"/>
                <w:bCs w:val="1"/>
                <w:sz w:val="18"/>
                <w:szCs w:val="18"/>
                <w:u w:color="000000"/>
                <w:shd w:val="nil" w:color="auto" w:fill="auto"/>
                <w:rtl w:val="0"/>
                <w:lang w:val="pt-PT"/>
              </w:rPr>
              <w:t>Efeito poolado vs. intervalo de predicao: uma distincao crucial</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18"/>
                <w:szCs w:val="18"/>
                <w:u w:color="000000"/>
                <w:shd w:val="nil" w:color="auto" w:fill="auto"/>
                <w:rtl w:val="0"/>
                <w:lang w:val="pt-PT"/>
              </w:rPr>
              <w:t xml:space="preserve">O IC 95% do efeito poolado ([-0,52, -0,22]) diz: 'temos 95% de confianca de que o efeito medio verdadeiro esta neste intervalo'. O intervalo de predicao ([-0,70, +0,05]) diz: 'se conduzirmos um novo estudo em um contexto tipico deste corpus, o efeito verdadeiro naquele contexto provavelmente estara neste intervalo'. O intervalo de predicao e muito mais relevante para decisoes praticas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ele mostra que, mesmo com meta-analise favoravel, um novo estudo individual pode muito bem nao replicar o efeito positivo. Relatores de meta-analises que apresentam apenas o IC do efeito poolado estao omitindo informacao essencial para o leitor.</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lang w:val="pt-PT"/>
        </w:rPr>
        <w:t>5. LIMITACOES E AMEACAS A VALIDADE</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200"/>
        <w:gridCol w:w="4071"/>
      </w:tblGrid>
      <w:tr>
        <w:tblPrEx>
          <w:shd w:val="clear" w:color="auto" w:fill="ced7e7"/>
        </w:tblPrEx>
        <w:trPr>
          <w:trHeight w:val="202"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it-IT"/>
              </w:rPr>
              <w:t>Tipo</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en-US"/>
              </w:rPr>
              <w:t>Ameaca</w:t>
            </w:r>
          </w:p>
        </w:tc>
        <w:tc>
          <w:tcPr>
            <w:tcW w:type="dxa" w:w="4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8"/>
                <w:szCs w:val="18"/>
                <w:u w:color="000000"/>
                <w:shd w:val="nil" w:color="auto" w:fill="auto"/>
                <w:rtl w:val="0"/>
                <w:lang w:val="es-ES_tradnl"/>
              </w:rPr>
              <w:t>Mitigacao</w:t>
            </w:r>
          </w:p>
        </w:tc>
      </w:tr>
      <w:tr>
        <w:tblPrEx>
          <w:shd w:val="clear" w:color="auto" w:fill="ced7e7"/>
        </w:tblPrEx>
        <w:trPr>
          <w:trHeight w:val="679"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Validade de construto</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Heterogeneidade na operacionalizacao de 'defeitos' entre estudos (defeitos detectados vs. reportados vs. latentes)</w:t>
            </w:r>
          </w:p>
        </w:tc>
        <w:tc>
          <w:tcPr>
            <w:tcW w:type="dxa" w:w="4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pt-PT"/>
              </w:rPr>
              <w:t>Extraidos e documentados para cada estudo; estudos que operacionalizaram defeitos de forma muito distinta foram marcados em analise de sensibilidade</w:t>
            </w:r>
          </w:p>
        </w:tc>
      </w:tr>
      <w:tr>
        <w:tblPrEx>
          <w:shd w:val="clear" w:color="auto" w:fill="ced7e7"/>
        </w:tblPrEx>
        <w:trPr>
          <w:trHeight w:val="441"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Validade interna</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Vies de publicacao confirmado pelo teste de Egger (p = 0,027)</w:t>
            </w:r>
          </w:p>
        </w:tc>
        <w:tc>
          <w:tcPr>
            <w:tcW w:type="dxa" w:w="4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pt-PT"/>
              </w:rPr>
              <w:t>Correcao de trim-and-fill aplicada; efeito corrigido (d = -0,31) reportado junto ao efeito bruto</w:t>
            </w:r>
          </w:p>
        </w:tc>
      </w:tr>
      <w:tr>
        <w:tblPrEx>
          <w:shd w:val="clear" w:color="auto" w:fill="ced7e7"/>
        </w:tblPrEx>
        <w:trPr>
          <w:trHeight w:val="679"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Validade externa</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Concentracao de estudos academicos (9/15) pode limitar generalizacao industrial</w:t>
            </w:r>
          </w:p>
        </w:tc>
        <w:tc>
          <w:tcPr>
            <w:tcW w:type="dxa" w:w="4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pt-PT"/>
              </w:rPr>
              <w:t>Metarregressao identificou diferenca de magnitude entre contextos; conclusoes para contexto industrial baseadas nos 6 estudos industriais especificamente</w:t>
            </w:r>
          </w:p>
        </w:tc>
      </w:tr>
      <w:tr>
        <w:tblPrEx>
          <w:shd w:val="clear" w:color="auto" w:fill="ced7e7"/>
        </w:tblPrEx>
        <w:trPr>
          <w:trHeight w:val="679"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Validade de conclusao</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 xml:space="preserve">Metarregressao com n pequeno tem baixo poder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diferenca entre contextos pode ser maior do que detectado</w:t>
            </w:r>
          </w:p>
        </w:tc>
        <w:tc>
          <w:tcPr>
            <w:tcW w:type="dxa" w:w="4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pt-PT"/>
              </w:rPr>
              <w:t>Intervalo de confianca da diferenca reportado; diferenca de contexto nao significativa ao nivel 0,05</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4. Ameacas a validade segundo Wohlin et al. (2012).</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rPr>
        <w:t>6. CONCLUSAO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Esta meta-analise sintetizou 15 experimentos sobre TDD e densidade de defeitos. O efeito poolado (d = -0,37, IC 95%: [-0,52, -0,22]) e estatisticamente significativo e de magnitude pequena a moderada, persistindo apos correcao para possivel vies de publicacao (d = -0,31). A experiencia previa dos participantes com TDD e um moderador significativo: iniciantes mostram efeito maior, sugerindo que TDD beneficia mais equipes sem praticas estabelecidas de teste.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artigo demonstrou os tres elementos visuais centrais da meta-analise </w:t>
      </w:r>
      <w:r>
        <w:rPr>
          <w:rFonts w:ascii="Times New Roman" w:hAnsi="Times New Roman" w:hint="default"/>
          <w:sz w:val="20"/>
          <w:szCs w:val="20"/>
          <w:rtl w:val="0"/>
          <w:lang w:val="en-US"/>
        </w:rPr>
        <w:t xml:space="preserve">— </w:t>
      </w:r>
      <w:r>
        <w:rPr>
          <w:rFonts w:ascii="Times New Roman" w:hAnsi="Times New Roman"/>
          <w:sz w:val="20"/>
          <w:szCs w:val="20"/>
          <w:rtl w:val="0"/>
          <w:lang w:val="es-ES_tradnl"/>
        </w:rPr>
        <w:t xml:space="preserve">forest plot, funnel plot e resultados de metarregressao </w:t>
      </w:r>
      <w:r>
        <w:rPr>
          <w:rFonts w:ascii="Times New Roman" w:hAnsi="Times New Roman" w:hint="default"/>
          <w:sz w:val="20"/>
          <w:szCs w:val="20"/>
          <w:rtl w:val="0"/>
          <w:lang w:val="en-US"/>
        </w:rPr>
        <w:t xml:space="preserve">— </w:t>
      </w:r>
      <w:r>
        <w:rPr>
          <w:rFonts w:ascii="Times New Roman" w:hAnsi="Times New Roman"/>
          <w:sz w:val="20"/>
          <w:szCs w:val="20"/>
          <w:rtl w:val="0"/>
          <w:lang w:val="pt-PT"/>
        </w:rPr>
        <w:t>e explicou a logica de cada um. A escolha pelo modelo de efeitos aleatorios, a avaliacao de heterogeneidade por I</w:t>
      </w:r>
      <w:r>
        <w:rPr>
          <w:rFonts w:ascii="Times New Roman" w:hAnsi="Times New Roman" w:hint="default"/>
          <w:sz w:val="20"/>
          <w:szCs w:val="20"/>
          <w:rtl w:val="0"/>
        </w:rPr>
        <w:t xml:space="preserve">² </w:t>
      </w:r>
      <w:r>
        <w:rPr>
          <w:rFonts w:ascii="Times New Roman" w:hAnsi="Times New Roman"/>
          <w:sz w:val="20"/>
          <w:szCs w:val="20"/>
          <w:rtl w:val="0"/>
          <w:lang w:val="pt-PT"/>
        </w:rPr>
        <w:t>e a distincao entre IC do efeito poolado e intervalo de predicao foram tratadas como decisoes metodologicas com implicacoes interpretativas diretas, nao como procedimentos tecnicos opacos.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proximo passo recomendado e a atualizacao desta meta-analise com estudos em contextos de DevOps e integracao continua, onde TDD frequentemente e combinado com cobertura automatica de testes em pipeline </w:t>
      </w:r>
      <w:r>
        <w:rPr>
          <w:rFonts w:ascii="Times New Roman" w:hAnsi="Times New Roman" w:hint="default"/>
          <w:sz w:val="20"/>
          <w:szCs w:val="20"/>
          <w:rtl w:val="0"/>
          <w:lang w:val="en-US"/>
        </w:rPr>
        <w:t xml:space="preserve">— </w:t>
      </w:r>
      <w:r>
        <w:rPr>
          <w:rFonts w:ascii="Times New Roman" w:hAnsi="Times New Roman"/>
          <w:sz w:val="20"/>
          <w:szCs w:val="20"/>
          <w:rtl w:val="0"/>
          <w:lang w:val="pt-PT"/>
        </w:rPr>
        <w:t>uma condicao que pode alterar tanto o baseline de qualidade quanto o efeito diferencial de TDD.</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lang w:val="es-ES_tradnl"/>
        </w:rPr>
        <w:t>PERGUNTAS PARA REFLEXAO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b w:val="1"/>
          <w:bCs w:val="1"/>
          <w:sz w:val="18"/>
          <w:szCs w:val="18"/>
        </w:rPr>
      </w:pPr>
      <w:r>
        <w:rPr>
          <w:rFonts w:ascii="Times New Roman" w:hAnsi="Times New Roman"/>
          <w:b w:val="1"/>
          <w:bCs w:val="1"/>
          <w:sz w:val="18"/>
          <w:szCs w:val="18"/>
          <w:rtl w:val="0"/>
          <w:lang w:val="pt-PT"/>
        </w:rPr>
        <w:t>Em que tipo de problema de pesquisa a meta-an</w:t>
      </w:r>
      <w:r>
        <w:rPr>
          <w:rFonts w:ascii="Times New Roman" w:hAnsi="Times New Roman" w:hint="default"/>
          <w:b w:val="1"/>
          <w:bCs w:val="1"/>
          <w:sz w:val="18"/>
          <w:szCs w:val="18"/>
          <w:rtl w:val="0"/>
        </w:rPr>
        <w:t>á</w:t>
      </w:r>
      <w:r>
        <w:rPr>
          <w:rFonts w:ascii="Times New Roman" w:hAnsi="Times New Roman"/>
          <w:b w:val="1"/>
          <w:bCs w:val="1"/>
          <w:sz w:val="18"/>
          <w:szCs w:val="18"/>
          <w:rtl w:val="0"/>
          <w:lang w:val="fr-FR"/>
        </w:rPr>
        <w:t xml:space="preserve">lise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mais adequada? D</w:t>
      </w:r>
      <w:r>
        <w:rPr>
          <w:rFonts w:ascii="Times New Roman" w:hAnsi="Times New Roman" w:hint="default"/>
          <w:b w:val="1"/>
          <w:bCs w:val="1"/>
          <w:sz w:val="18"/>
          <w:szCs w:val="18"/>
          <w:rtl w:val="0"/>
        </w:rPr>
        <w:t xml:space="preserve">ê </w:t>
      </w:r>
      <w:r>
        <w:rPr>
          <w:rFonts w:ascii="Times New Roman" w:hAnsi="Times New Roman"/>
          <w:b w:val="1"/>
          <w:bCs w:val="1"/>
          <w:sz w:val="18"/>
          <w:szCs w:val="18"/>
          <w:rtl w:val="0"/>
          <w:lang w:val="pt-PT"/>
        </w:rPr>
        <w:t xml:space="preserve">um exemplo. </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b w:val="1"/>
          <w:bCs w:val="1"/>
          <w:sz w:val="18"/>
          <w:szCs w:val="18"/>
        </w:rPr>
      </w:pPr>
      <w:r>
        <w:rPr>
          <w:rFonts w:ascii="Times New Roman" w:hAnsi="Times New Roman"/>
          <w:b w:val="1"/>
          <w:bCs w:val="1"/>
          <w:sz w:val="18"/>
          <w:szCs w:val="18"/>
          <w:rtl w:val="0"/>
          <w:lang w:val="pt-PT"/>
        </w:rPr>
        <w:t xml:space="preserve">Qual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o principal objetivo de uma meta-an</w:t>
      </w:r>
      <w:r>
        <w:rPr>
          <w:rFonts w:ascii="Times New Roman" w:hAnsi="Times New Roman" w:hint="default"/>
          <w:b w:val="1"/>
          <w:bCs w:val="1"/>
          <w:sz w:val="18"/>
          <w:szCs w:val="18"/>
          <w:rtl w:val="0"/>
        </w:rPr>
        <w:t>á</w:t>
      </w:r>
      <w:r>
        <w:rPr>
          <w:rFonts w:ascii="Times New Roman" w:hAnsi="Times New Roman"/>
          <w:b w:val="1"/>
          <w:bCs w:val="1"/>
          <w:sz w:val="18"/>
          <w:szCs w:val="18"/>
          <w:rtl w:val="0"/>
          <w:lang w:val="zh-TW" w:eastAsia="zh-TW"/>
        </w:rPr>
        <w:t xml:space="preserve">lise? </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b w:val="1"/>
          <w:bCs w:val="1"/>
          <w:sz w:val="18"/>
          <w:szCs w:val="18"/>
        </w:rPr>
      </w:pPr>
      <w:r>
        <w:rPr>
          <w:rFonts w:ascii="Times New Roman" w:hAnsi="Times New Roman"/>
          <w:b w:val="1"/>
          <w:bCs w:val="1"/>
          <w:sz w:val="18"/>
          <w:szCs w:val="18"/>
          <w:rtl w:val="0"/>
          <w:lang w:val="pt-PT"/>
        </w:rPr>
        <w:t xml:space="preserve">Qual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a diferen</w:t>
      </w:r>
      <w:r>
        <w:rPr>
          <w:rFonts w:ascii="Times New Roman" w:hAnsi="Times New Roman" w:hint="default"/>
          <w:b w:val="1"/>
          <w:bCs w:val="1"/>
          <w:sz w:val="18"/>
          <w:szCs w:val="18"/>
          <w:rtl w:val="0"/>
        </w:rPr>
        <w:t>ç</w:t>
      </w:r>
      <w:r>
        <w:rPr>
          <w:rFonts w:ascii="Times New Roman" w:hAnsi="Times New Roman"/>
          <w:b w:val="1"/>
          <w:bCs w:val="1"/>
          <w:sz w:val="18"/>
          <w:szCs w:val="18"/>
          <w:rtl w:val="0"/>
          <w:lang w:val="pt-PT"/>
        </w:rPr>
        <w:t>a entre uma meta-an</w:t>
      </w:r>
      <w:r>
        <w:rPr>
          <w:rFonts w:ascii="Times New Roman" w:hAnsi="Times New Roman" w:hint="default"/>
          <w:b w:val="1"/>
          <w:bCs w:val="1"/>
          <w:sz w:val="18"/>
          <w:szCs w:val="18"/>
          <w:rtl w:val="0"/>
        </w:rPr>
        <w:t>á</w:t>
      </w:r>
      <w:r>
        <w:rPr>
          <w:rFonts w:ascii="Times New Roman" w:hAnsi="Times New Roman"/>
          <w:b w:val="1"/>
          <w:bCs w:val="1"/>
          <w:sz w:val="18"/>
          <w:szCs w:val="18"/>
          <w:rtl w:val="0"/>
          <w:lang w:val="pt-PT"/>
        </w:rPr>
        <w:t>lise e uma s</w:t>
      </w:r>
      <w:r>
        <w:rPr>
          <w:rFonts w:ascii="Times New Roman" w:hAnsi="Times New Roman" w:hint="default"/>
          <w:b w:val="1"/>
          <w:bCs w:val="1"/>
          <w:sz w:val="18"/>
          <w:szCs w:val="18"/>
          <w:rtl w:val="0"/>
        </w:rPr>
        <w:t>í</w:t>
      </w:r>
      <w:r>
        <w:rPr>
          <w:rFonts w:ascii="Times New Roman" w:hAnsi="Times New Roman"/>
          <w:b w:val="1"/>
          <w:bCs w:val="1"/>
          <w:sz w:val="18"/>
          <w:szCs w:val="18"/>
          <w:rtl w:val="0"/>
          <w:lang w:val="it-IT"/>
        </w:rPr>
        <w:t xml:space="preserve">ntese narrativa? </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b w:val="1"/>
          <w:bCs w:val="1"/>
          <w:sz w:val="18"/>
          <w:szCs w:val="18"/>
        </w:rPr>
      </w:pPr>
      <w:r>
        <w:rPr>
          <w:rFonts w:ascii="Times New Roman" w:hAnsi="Times New Roman"/>
          <w:b w:val="1"/>
          <w:bCs w:val="1"/>
          <w:sz w:val="18"/>
          <w:szCs w:val="18"/>
          <w:rtl w:val="0"/>
          <w:lang w:val="pt-PT"/>
        </w:rPr>
        <w:t xml:space="preserve">O que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um tamanho de efeito e por que ele precisa ser padronizado antes da s</w:t>
      </w:r>
      <w:r>
        <w:rPr>
          <w:rFonts w:ascii="Times New Roman" w:hAnsi="Times New Roman" w:hint="default"/>
          <w:b w:val="1"/>
          <w:bCs w:val="1"/>
          <w:sz w:val="18"/>
          <w:szCs w:val="18"/>
          <w:rtl w:val="0"/>
        </w:rPr>
        <w:t>í</w:t>
      </w:r>
      <w:r>
        <w:rPr>
          <w:rFonts w:ascii="Times New Roman" w:hAnsi="Times New Roman"/>
          <w:b w:val="1"/>
          <w:bCs w:val="1"/>
          <w:sz w:val="18"/>
          <w:szCs w:val="18"/>
          <w:rtl w:val="0"/>
          <w:lang w:val="zh-TW" w:eastAsia="zh-TW"/>
        </w:rPr>
        <w:t xml:space="preserve">ntese? </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b w:val="1"/>
          <w:bCs w:val="1"/>
          <w:sz w:val="18"/>
          <w:szCs w:val="18"/>
        </w:rPr>
      </w:pPr>
      <w:r>
        <w:rPr>
          <w:rFonts w:ascii="Times New Roman" w:hAnsi="Times New Roman"/>
          <w:b w:val="1"/>
          <w:bCs w:val="1"/>
          <w:sz w:val="18"/>
          <w:szCs w:val="18"/>
          <w:rtl w:val="0"/>
          <w:lang w:val="pt-PT"/>
        </w:rPr>
        <w:t xml:space="preserve">Qual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a diferen</w:t>
      </w:r>
      <w:r>
        <w:rPr>
          <w:rFonts w:ascii="Times New Roman" w:hAnsi="Times New Roman" w:hint="default"/>
          <w:b w:val="1"/>
          <w:bCs w:val="1"/>
          <w:sz w:val="18"/>
          <w:szCs w:val="18"/>
          <w:rtl w:val="0"/>
        </w:rPr>
        <w:t>ç</w:t>
      </w:r>
      <w:r>
        <w:rPr>
          <w:rFonts w:ascii="Times New Roman" w:hAnsi="Times New Roman"/>
          <w:b w:val="1"/>
          <w:bCs w:val="1"/>
          <w:sz w:val="18"/>
          <w:szCs w:val="18"/>
          <w:rtl w:val="0"/>
          <w:lang w:val="pt-PT"/>
        </w:rPr>
        <w:t>a entre um modelo de efeitos fixos e um modelo de efeitos aleat</w:t>
      </w:r>
      <w:r>
        <w:rPr>
          <w:rFonts w:ascii="Times New Roman" w:hAnsi="Times New Roman" w:hint="default"/>
          <w:b w:val="1"/>
          <w:bCs w:val="1"/>
          <w:sz w:val="18"/>
          <w:szCs w:val="18"/>
          <w:rtl w:val="0"/>
          <w:lang w:val="es-ES_tradnl"/>
        </w:rPr>
        <w:t>ó</w:t>
      </w:r>
      <w:r>
        <w:rPr>
          <w:rFonts w:ascii="Times New Roman" w:hAnsi="Times New Roman"/>
          <w:b w:val="1"/>
          <w:bCs w:val="1"/>
          <w:sz w:val="18"/>
          <w:szCs w:val="18"/>
          <w:rtl w:val="0"/>
          <w:lang w:val="es-ES_tradnl"/>
        </w:rPr>
        <w:t xml:space="preserve">rios? </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b w:val="1"/>
          <w:bCs w:val="1"/>
          <w:sz w:val="18"/>
          <w:szCs w:val="18"/>
        </w:rPr>
      </w:pPr>
      <w:r>
        <w:rPr>
          <w:rFonts w:ascii="Times New Roman" w:hAnsi="Times New Roman"/>
          <w:b w:val="1"/>
          <w:bCs w:val="1"/>
          <w:sz w:val="18"/>
          <w:szCs w:val="18"/>
          <w:rtl w:val="0"/>
          <w:lang w:val="pt-PT"/>
        </w:rPr>
        <w:t>Em que situa</w:t>
      </w:r>
      <w:r>
        <w:rPr>
          <w:rFonts w:ascii="Times New Roman" w:hAnsi="Times New Roman" w:hint="default"/>
          <w:b w:val="1"/>
          <w:bCs w:val="1"/>
          <w:sz w:val="18"/>
          <w:szCs w:val="18"/>
          <w:rtl w:val="0"/>
          <w:lang w:val="pt-PT"/>
        </w:rPr>
        <w:t>çõ</w:t>
      </w:r>
      <w:r>
        <w:rPr>
          <w:rFonts w:ascii="Times New Roman" w:hAnsi="Times New Roman"/>
          <w:b w:val="1"/>
          <w:bCs w:val="1"/>
          <w:sz w:val="18"/>
          <w:szCs w:val="18"/>
          <w:rtl w:val="0"/>
          <w:lang w:val="pt-PT"/>
        </w:rPr>
        <w:t xml:space="preserve">es cada um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 xml:space="preserve">mais adequado? </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b w:val="1"/>
          <w:bCs w:val="1"/>
          <w:sz w:val="18"/>
          <w:szCs w:val="18"/>
        </w:rPr>
      </w:pPr>
      <w:r>
        <w:rPr>
          <w:rFonts w:ascii="Times New Roman" w:hAnsi="Times New Roman"/>
          <w:b w:val="1"/>
          <w:bCs w:val="1"/>
          <w:sz w:val="18"/>
          <w:szCs w:val="18"/>
          <w:rtl w:val="0"/>
          <w:lang w:val="pt-PT"/>
        </w:rPr>
        <w:t>O que torna uma meta-an</w:t>
      </w:r>
      <w:r>
        <w:rPr>
          <w:rFonts w:ascii="Times New Roman" w:hAnsi="Times New Roman" w:hint="default"/>
          <w:b w:val="1"/>
          <w:bCs w:val="1"/>
          <w:sz w:val="18"/>
          <w:szCs w:val="18"/>
          <w:rtl w:val="0"/>
        </w:rPr>
        <w:t>á</w:t>
      </w:r>
      <w:r>
        <w:rPr>
          <w:rFonts w:ascii="Times New Roman" w:hAnsi="Times New Roman"/>
          <w:b w:val="1"/>
          <w:bCs w:val="1"/>
          <w:sz w:val="18"/>
          <w:szCs w:val="18"/>
          <w:rtl w:val="0"/>
          <w:lang w:val="it-IT"/>
        </w:rPr>
        <w:t>lise transparente e confi</w:t>
      </w:r>
      <w:r>
        <w:rPr>
          <w:rFonts w:ascii="Times New Roman" w:hAnsi="Times New Roman" w:hint="default"/>
          <w:b w:val="1"/>
          <w:bCs w:val="1"/>
          <w:sz w:val="18"/>
          <w:szCs w:val="18"/>
          <w:rtl w:val="0"/>
        </w:rPr>
        <w:t>á</w:t>
      </w:r>
      <w:r>
        <w:rPr>
          <w:rFonts w:ascii="Times New Roman" w:hAnsi="Times New Roman"/>
          <w:b w:val="1"/>
          <w:bCs w:val="1"/>
          <w:sz w:val="18"/>
          <w:szCs w:val="18"/>
          <w:rtl w:val="0"/>
          <w:lang w:val="pt-PT"/>
        </w:rPr>
        <w:t xml:space="preserve">vel para outros pesquisadores? </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sz w:val="18"/>
          <w:szCs w:val="18"/>
          <w:rtl w:val="0"/>
        </w:rPr>
        <w:t>Ap</w:t>
      </w:r>
      <w:r>
        <w:rPr>
          <w:rFonts w:ascii="Times New Roman" w:hAnsi="Times New Roman" w:hint="default"/>
          <w:b w:val="1"/>
          <w:bCs w:val="1"/>
          <w:sz w:val="18"/>
          <w:szCs w:val="18"/>
          <w:rtl w:val="0"/>
          <w:lang w:val="es-ES_tradnl"/>
        </w:rPr>
        <w:t>ó</w:t>
      </w:r>
      <w:r>
        <w:rPr>
          <w:rFonts w:ascii="Times New Roman" w:hAnsi="Times New Roman"/>
          <w:b w:val="1"/>
          <w:bCs w:val="1"/>
          <w:sz w:val="18"/>
          <w:szCs w:val="18"/>
          <w:rtl w:val="0"/>
          <w:lang w:val="pt-PT"/>
        </w:rPr>
        <w:t>s concluir uma meta-an</w:t>
      </w:r>
      <w:r>
        <w:rPr>
          <w:rFonts w:ascii="Times New Roman" w:hAnsi="Times New Roman" w:hint="default"/>
          <w:b w:val="1"/>
          <w:bCs w:val="1"/>
          <w:sz w:val="18"/>
          <w:szCs w:val="18"/>
          <w:rtl w:val="0"/>
        </w:rPr>
        <w:t>á</w:t>
      </w:r>
      <w:r>
        <w:rPr>
          <w:rFonts w:ascii="Times New Roman" w:hAnsi="Times New Roman"/>
          <w:b w:val="1"/>
          <w:bCs w:val="1"/>
          <w:sz w:val="18"/>
          <w:szCs w:val="18"/>
          <w:rtl w:val="0"/>
          <w:lang w:val="pt-PT"/>
        </w:rPr>
        <w:t>lise, quais perguntas de pesquisa ainda permaneceriam sem resposta e exigiriam outro m</w:t>
      </w:r>
      <w:r>
        <w:rPr>
          <w:rFonts w:ascii="Times New Roman" w:hAnsi="Times New Roman" w:hint="default"/>
          <w:b w:val="1"/>
          <w:bCs w:val="1"/>
          <w:sz w:val="18"/>
          <w:szCs w:val="18"/>
          <w:rtl w:val="0"/>
          <w:lang w:val="fr-FR"/>
        </w:rPr>
        <w:t>é</w:t>
      </w:r>
      <w:r>
        <w:rPr>
          <w:rFonts w:ascii="Times New Roman" w:hAnsi="Times New Roman"/>
          <w:b w:val="1"/>
          <w:bCs w:val="1"/>
          <w:sz w:val="18"/>
          <w:szCs w:val="18"/>
          <w:rtl w:val="0"/>
          <w:lang w:val="es-ES_tradnl"/>
        </w:rPr>
        <w:t>todo de s</w:t>
      </w:r>
      <w:r>
        <w:rPr>
          <w:rFonts w:ascii="Times New Roman" w:hAnsi="Times New Roman" w:hint="default"/>
          <w:b w:val="1"/>
          <w:bCs w:val="1"/>
          <w:sz w:val="18"/>
          <w:szCs w:val="18"/>
          <w:rtl w:val="0"/>
        </w:rPr>
        <w:t>í</w:t>
      </w:r>
      <w:r>
        <w:rPr>
          <w:rFonts w:ascii="Times New Roman" w:hAnsi="Times New Roman"/>
          <w:b w:val="1"/>
          <w:bCs w:val="1"/>
          <w:sz w:val="18"/>
          <w:szCs w:val="18"/>
          <w:rtl w:val="0"/>
          <w:lang w:val="zh-TW" w:eastAsia="zh-TW"/>
        </w:rPr>
        <w:t>ntese?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lang w:val="pt-PT"/>
        </w:rPr>
        <w:t xml:space="preserve">ANEXO A </w:t>
      </w:r>
      <w:r>
        <w:rPr>
          <w:rFonts w:ascii="Times New Roman" w:hAnsi="Times New Roman" w:hint="default"/>
          <w:b w:val="1"/>
          <w:bCs w:val="1"/>
          <w:rtl w:val="0"/>
          <w:lang w:val="en-US"/>
        </w:rPr>
        <w:t xml:space="preserve">— </w:t>
      </w:r>
      <w:r>
        <w:rPr>
          <w:rFonts w:ascii="Times New Roman" w:hAnsi="Times New Roman"/>
          <w:b w:val="1"/>
          <w:bCs w:val="1"/>
          <w:rtl w:val="0"/>
          <w:lang w:val="es-ES_tradnl"/>
        </w:rPr>
        <w:t>GUIA DE REFERENCIA: META-ANALISE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rPr>
        <w:t>Definicao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Meta-analise e um conjunto de tecnicas estatisticas para agregar quantitativamente os resultados de multiplos estudos primarios. Seu produto central e um efeito poolado com intervalo de confianca, acompanhado de medidas de heterogeneidade e, quando aplicavel, analise de moderadores por metarregressao. E o metodo de sintese com maior precisao e replicabilidade, mas tambem o mais restritivo em termos de requisitos sobre os estudos primarios.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Conceitos centrais</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2600"/>
        <w:gridCol w:w="4771"/>
      </w:tblGrid>
      <w:tr>
        <w:tblPrEx>
          <w:shd w:val="clear" w:color="auto" w:fill="ced7e7"/>
        </w:tblPrEx>
        <w:trPr>
          <w:trHeight w:val="202" w:hRule="atLeast"/>
        </w:trPr>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pt-PT"/>
              </w:rPr>
              <w:t>Conceito</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pt-PT"/>
              </w:rPr>
              <w:t>Definicao em palavras simples</w:t>
            </w:r>
          </w:p>
        </w:tc>
        <w:tc>
          <w:tcPr>
            <w:tcW w:type="dxa" w:w="4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18"/>
                <w:szCs w:val="18"/>
                <w:u w:color="000000"/>
                <w:shd w:val="nil" w:color="auto" w:fill="auto"/>
                <w:rtl w:val="0"/>
                <w:lang w:val="es-ES_tradnl"/>
              </w:rPr>
              <w:t>Para que serve</w:t>
            </w:r>
          </w:p>
        </w:tc>
      </w:tr>
      <w:tr>
        <w:tblPrEx>
          <w:shd w:val="clear" w:color="auto" w:fill="ced7e7"/>
        </w:tblPrEx>
        <w:trPr>
          <w:trHeight w:val="1395" w:hRule="atLeast"/>
        </w:trPr>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fr-FR"/>
              </w:rPr>
              <w:t>d de Cohen</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Diferenca entre as medias dos grupos (TDD vs. controle) dividida pelo desvio padrao poolado. Padroniza efeitos de estudos que usaram escalas diferentes.</w:t>
            </w:r>
          </w:p>
        </w:tc>
        <w:tc>
          <w:tcPr>
            <w:tcW w:type="dxa" w:w="4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pt-PT"/>
              </w:rPr>
              <w:t>Homogeneizar efeitos de diferentes estudos para que possam ser agregados</w:t>
            </w:r>
          </w:p>
        </w:tc>
      </w:tr>
      <w:tr>
        <w:tblPrEx>
          <w:shd w:val="clear" w:color="auto" w:fill="ced7e7"/>
        </w:tblPrEx>
        <w:trPr>
          <w:trHeight w:val="918" w:hRule="atLeast"/>
        </w:trPr>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Efeito poolado</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Media ponderada dos efeitos dos estudos individuais, onde o peso de cada estudo e proporcional a sua precisao.</w:t>
            </w:r>
          </w:p>
        </w:tc>
        <w:tc>
          <w:tcPr>
            <w:tcW w:type="dxa" w:w="4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pt-PT"/>
              </w:rPr>
              <w:t>Estimativa agregada do efeito com maior precisao do que qualquer estudo individual</w:t>
            </w:r>
          </w:p>
        </w:tc>
      </w:tr>
      <w:tr>
        <w:tblPrEx>
          <w:shd w:val="clear" w:color="auto" w:fill="ced7e7"/>
        </w:tblPrEx>
        <w:trPr>
          <w:trHeight w:val="679" w:hRule="atLeast"/>
        </w:trPr>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IC 95% do efeito poolado</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Intervalo dentro do qual o efeito medio verdadeiro esta com 95% de confianca.</w:t>
            </w:r>
          </w:p>
        </w:tc>
        <w:tc>
          <w:tcPr>
            <w:tcW w:type="dxa" w:w="4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pt-PT"/>
              </w:rPr>
              <w:t>Comunicar a precisao da estimativa agregada</w:t>
            </w:r>
          </w:p>
        </w:tc>
      </w:tr>
      <w:tr>
        <w:tblPrEx>
          <w:shd w:val="clear" w:color="auto" w:fill="ced7e7"/>
        </w:tblPrEx>
        <w:trPr>
          <w:trHeight w:val="1156" w:hRule="atLeast"/>
        </w:trPr>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I</w:t>
            </w:r>
            <w:r>
              <w:rPr>
                <w:rFonts w:ascii="Times New Roman" w:hAnsi="Times New Roman" w:hint="default"/>
                <w:sz w:val="18"/>
                <w:szCs w:val="18"/>
                <w:u w:color="000000"/>
                <w:shd w:val="nil" w:color="auto" w:fill="auto"/>
                <w:rtl w:val="0"/>
              </w:rPr>
              <w:t>²</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Proporcao da variancia total entre estudos que e real (heterogeneidade verdadeira), nao apenas amostral. Varia de 0% a 100%.</w:t>
            </w:r>
          </w:p>
        </w:tc>
        <w:tc>
          <w:tcPr>
            <w:tcW w:type="dxa" w:w="4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pt-PT"/>
              </w:rPr>
              <w:t>Quantificar o quanto os efeitos verdadeiros variam entre estudos</w:t>
            </w:r>
          </w:p>
        </w:tc>
      </w:tr>
      <w:tr>
        <w:tblPrEx>
          <w:shd w:val="clear" w:color="auto" w:fill="ced7e7"/>
        </w:tblPrEx>
        <w:trPr>
          <w:trHeight w:val="1156" w:hRule="atLeast"/>
        </w:trPr>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Intervalo de predicao</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Intervalo dentro do qual o efeito verdadeiro de um novo estudo tipico provavelmente estaria. Sempre mais largo do que o IC do efeito poolado.</w:t>
            </w:r>
          </w:p>
        </w:tc>
        <w:tc>
          <w:tcPr>
            <w:tcW w:type="dxa" w:w="4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pt-PT"/>
              </w:rPr>
              <w:t>Comunicar a incerteza relevante para decisoes sobre um contexto especifico</w:t>
            </w:r>
          </w:p>
        </w:tc>
      </w:tr>
      <w:tr>
        <w:tblPrEx>
          <w:shd w:val="clear" w:color="auto" w:fill="ced7e7"/>
        </w:tblPrEx>
        <w:trPr>
          <w:trHeight w:val="918" w:hRule="atLeast"/>
        </w:trPr>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a-DK"/>
              </w:rPr>
              <w:t>Forest plot</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Grafico que mostra o efeito e IC de cada estudo e o efeito poolado (diamante), com quadrados proporcionais ao peso.</w:t>
            </w:r>
          </w:p>
        </w:tc>
        <w:tc>
          <w:tcPr>
            <w:tcW w:type="dxa" w:w="4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pt-PT"/>
              </w:rPr>
              <w:t>Visualizar simultaneamente todos os estudos e o resultado da sintese</w:t>
            </w:r>
          </w:p>
        </w:tc>
      </w:tr>
      <w:tr>
        <w:tblPrEx>
          <w:shd w:val="clear" w:color="auto" w:fill="ced7e7"/>
        </w:tblPrEx>
        <w:trPr>
          <w:trHeight w:val="679" w:hRule="atLeast"/>
        </w:trPr>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Funnel plot</w:t>
            </w:r>
          </w:p>
        </w:tc>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Grafico de erro padrao vs. efeito. Simetrico na ausencia de vies de publicacao.</w:t>
            </w:r>
          </w:p>
        </w:tc>
        <w:tc>
          <w:tcPr>
            <w:tcW w:type="dxa" w:w="47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pt-PT"/>
              </w:rPr>
              <w:t>Avaliar visualmente se estudos com resultados nulos foram omitidos da literatura</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A1. Conceitos centrais da meta-analise.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it-IT"/>
        </w:rPr>
        <w:t>Quando usar</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Use meta-analise quando os estudos primarios sao experimentos ou quasi-experimentos que comparam duas ou mais condicoes no mesmo desfecho, e quando e possivel calcular ou estimar um tamanho de efeito padronizado para cada estudo. E o metodo de eleicao para perguntas do tipo 'quanto X afeta Y' com evidencia experimental disponivel.</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Quando nao usar</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Nao use quando os estudos primarios sao qualitativos, observacionais sem grupo controle, ou quando os desfechos sao tao heterogeneos que a agregacao seria enganosa (combinar estudos que mediram 'defeitos' de formas incompativeis, por exemplo). Tambem nao use quando o corpus e muito pequeno (menos de 5 estudos)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a estimativa de tau</w:t>
      </w:r>
      <w:r>
        <w:rPr>
          <w:rFonts w:ascii="Times New Roman" w:hAnsi="Times New Roman" w:hint="default"/>
          <w:sz w:val="20"/>
          <w:szCs w:val="20"/>
          <w:rtl w:val="0"/>
        </w:rPr>
        <w:t xml:space="preserve">² </w:t>
      </w:r>
      <w:r>
        <w:rPr>
          <w:rFonts w:ascii="Times New Roman" w:hAnsi="Times New Roman"/>
          <w:sz w:val="20"/>
          <w:szCs w:val="20"/>
          <w:rtl w:val="0"/>
          <w:lang w:val="pt-PT"/>
        </w:rPr>
        <w:t>sera imprecisa demais para o modelo de efeitos aleatorios ser confiavel.</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Antipadroes comuns</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071"/>
      </w:tblGrid>
      <w:tr>
        <w:tblPrEx>
          <w:shd w:val="clear" w:color="auto" w:fill="ced7e7"/>
        </w:tblPrEx>
        <w:trPr>
          <w:trHeight w:val="202"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it-IT"/>
              </w:rPr>
              <w:t>Antipadrao</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sz w:val="18"/>
                <w:szCs w:val="18"/>
                <w:u w:color="000000"/>
                <w:shd w:val="nil" w:color="auto" w:fill="auto"/>
                <w:rtl w:val="0"/>
                <w:lang w:val="pt-PT"/>
              </w:rPr>
              <w:t>Por que e problematico</w:t>
            </w:r>
          </w:p>
        </w:tc>
      </w:tr>
      <w:tr>
        <w:tblPrEx>
          <w:shd w:val="clear" w:color="auto" w:fill="ced7e7"/>
        </w:tblPrEx>
        <w:trPr>
          <w:trHeight w:val="441"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Reportar apenas o IC do efeito poolado sem o intervalo de predicao</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18"/>
                <w:szCs w:val="18"/>
                <w:u w:color="000000"/>
                <w:shd w:val="nil" w:color="auto" w:fill="auto"/>
                <w:rtl w:val="0"/>
                <w:lang w:val="pt-PT"/>
              </w:rPr>
              <w:t>O IC do efeito poolado subestima a incerteza relevante para novos contextos. Para decisoes praticas, o intervalo de predicao e mais informativo.</w:t>
            </w:r>
          </w:p>
        </w:tc>
      </w:tr>
      <w:tr>
        <w:tblPrEx>
          <w:shd w:val="clear" w:color="auto" w:fill="ced7e7"/>
        </w:tblPrEx>
        <w:trPr>
          <w:trHeight w:val="679"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Usar modelo de efeitos fixos sem justificativa substantiva</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18"/>
                <w:szCs w:val="18"/>
                <w:u w:color="000000"/>
                <w:shd w:val="nil" w:color="auto" w:fill="auto"/>
                <w:rtl w:val="0"/>
                <w:lang w:val="pt-PT"/>
              </w:rPr>
              <w:t xml:space="preserve">O modelo de efeitos fixos assume homogeneidade entre estudos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uma suposicao raramente justificavel em ES. Usar FE apenas porque produz IC mais estreito e antipatico metodologicamente.</w:t>
            </w:r>
          </w:p>
        </w:tc>
      </w:tr>
      <w:tr>
        <w:tblPrEx>
          <w:shd w:val="clear" w:color="auto" w:fill="ced7e7"/>
        </w:tblPrEx>
        <w:trPr>
          <w:trHeight w:val="679"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s-ES_tradnl"/>
              </w:rPr>
              <w:t>Interpretar I</w:t>
            </w:r>
            <w:r>
              <w:rPr>
                <w:rFonts w:ascii="Times New Roman" w:hAnsi="Times New Roman" w:hint="default"/>
                <w:sz w:val="18"/>
                <w:szCs w:val="18"/>
                <w:u w:color="000000"/>
                <w:shd w:val="nil" w:color="auto" w:fill="auto"/>
                <w:rtl w:val="0"/>
              </w:rPr>
              <w:t xml:space="preserve">² </w:t>
            </w:r>
            <w:r>
              <w:rPr>
                <w:rFonts w:ascii="Times New Roman" w:hAnsi="Times New Roman"/>
                <w:sz w:val="18"/>
                <w:szCs w:val="18"/>
                <w:u w:color="000000"/>
                <w:shd w:val="nil" w:color="auto" w:fill="auto"/>
                <w:rtl w:val="0"/>
                <w:lang w:val="es-ES_tradnl"/>
              </w:rPr>
              <w:t>= 0% como ausencia de heterogeneidade</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18"/>
                <w:szCs w:val="18"/>
                <w:u w:color="000000"/>
                <w:shd w:val="nil" w:color="auto" w:fill="auto"/>
                <w:rtl w:val="0"/>
              </w:rPr>
              <w:t>I</w:t>
            </w:r>
            <w:r>
              <w:rPr>
                <w:rFonts w:ascii="Times New Roman" w:hAnsi="Times New Roman" w:hint="default"/>
                <w:sz w:val="18"/>
                <w:szCs w:val="18"/>
                <w:u w:color="000000"/>
                <w:shd w:val="nil" w:color="auto" w:fill="auto"/>
                <w:rtl w:val="0"/>
              </w:rPr>
              <w:t xml:space="preserve">² </w:t>
            </w:r>
            <w:r>
              <w:rPr>
                <w:rFonts w:ascii="Times New Roman" w:hAnsi="Times New Roman"/>
                <w:sz w:val="18"/>
                <w:szCs w:val="18"/>
                <w:u w:color="000000"/>
                <w:shd w:val="nil" w:color="auto" w:fill="auto"/>
                <w:rtl w:val="0"/>
                <w:lang w:val="pt-PT"/>
              </w:rPr>
              <w:t>= 0% com poucos estudos pode simplesmente refletir baixo poder para detectar heterogeneidade real. Nao confundir ausencia de evidencia com evidencia de ausencia.</w:t>
            </w:r>
          </w:p>
        </w:tc>
      </w:tr>
      <w:tr>
        <w:tblPrEx>
          <w:shd w:val="clear" w:color="auto" w:fill="ced7e7"/>
        </w:tblPrEx>
        <w:trPr>
          <w:trHeight w:val="441"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Ignorar o funnel plot ou nao relatar o teste de Egger</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18"/>
                <w:szCs w:val="18"/>
                <w:u w:color="000000"/>
                <w:shd w:val="nil" w:color="auto" w:fill="auto"/>
                <w:rtl w:val="0"/>
                <w:lang w:val="pt-PT"/>
              </w:rPr>
              <w:t>Vies de publicacao e uma ameaca real em qualquer meta-analise. Nao avalia-lo e omitir uma ameaca conhecida sem justificativa.</w:t>
            </w:r>
          </w:p>
        </w:tc>
      </w:tr>
      <w:tr>
        <w:tblPrEx>
          <w:shd w:val="clear" w:color="auto" w:fill="ced7e7"/>
        </w:tblPrEx>
        <w:trPr>
          <w:trHeight w:val="679"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Tratar o efeito poolado como uma estimativa universal</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18"/>
                <w:szCs w:val="18"/>
                <w:u w:color="000000"/>
                <w:shd w:val="nil" w:color="auto" w:fill="auto"/>
                <w:rtl w:val="0"/>
                <w:lang w:val="pt-PT"/>
              </w:rPr>
              <w:t>O efeito poolado e a media de uma distribuicao de efeitos, nao um efeito que se replicara identicamente em qualquer contexto. Comunicar o intervalo de predicao e obrigatorio para interpretacao responsavel.</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A2. Antipadroes em meta-analise.</w:t>
      </w:r>
    </w:p>
    <w:sectPr>
      <w:headerReference w:type="default" r:id="rId7"/>
      <w:footerReference w:type="default" r:id="rId8"/>
      <w:pgSz w:w="11900" w:h="16840" w:orient="portrait"/>
      <w:pgMar w:top="1701" w:right="1134" w:bottom="1134" w:left="1701"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beçalho e Rodapé">
    <w:name w:val="Cabeçalho e Rodapé"/>
    <w:next w:val="Cabeçalho e Rodapé"/>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rpo">
    <w:name w:val="Corpo"/>
    <w:next w:val="Co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pt-PT"/>
      <w14:textOutline>
        <w14:noFill/>
      </w14:textOutline>
      <w14:textFill>
        <w14:solidFill>
          <w14:srgbClr w14:val="000000"/>
        </w14:solidFill>
      </w14:textFill>
    </w:rPr>
  </w:style>
  <w:style w:type="paragraph" w:styleId="Padrão">
    <w:name w:val="Padrão"/>
    <w:next w:val="Padrão"/>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