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center"/>
      </w:pPr>
      <w:r>
        <w:rPr>
          <w:rFonts w:ascii="Times New Roman" w:cs="Times New Roman" w:eastAsia="Times New Roman" w:hAnsi="Times New Roman"/>
          <w:b/>
          <w:bCs/>
          <w:sz w:val="28"/>
          <w:szCs w:val="28"/>
        </w:rPr>
        <w:t xml:space="preserve">Efeitos de um tutor conversacional baseado em LLM na aprendizagem de programação introdutória: um experimento controlado</w:t>
      </w:r>
    </w:p>
    <w:p>
      <w:pPr>
        <w:spacing w:after="40"/>
        <w:jc w:val="center"/>
      </w:pPr>
      <w:r>
        <w:rPr>
          <w:rFonts w:ascii="Times New Roman" w:cs="Times New Roman" w:eastAsia="Times New Roman" w:hAnsi="Times New Roman"/>
          <w:sz w:val="22"/>
          <w:szCs w:val="22"/>
        </w:rPr>
        <w:t xml:space="preserve">Mariana V. Tavares¹, Rodrigo Salgueiro¹, Ana Beatriz Lürth², Felipe do N. Coutinho¹</w:t>
      </w:r>
    </w:p>
    <w:p>
      <w:pPr>
        <w:spacing w:after="80"/>
        <w:jc w:val="center"/>
      </w:pPr>
      <w:r>
        <w:rPr>
          <w:rFonts w:ascii="Times New Roman" w:cs="Times New Roman" w:eastAsia="Times New Roman" w:hAnsi="Times New Roman"/>
          <w:sz w:val="18"/>
          <w:szCs w:val="18"/>
        </w:rPr>
        <w:t xml:space="preserve">¹Departamento de Computação — Universidade do Litoral (UNILIT, instituição fictícia), Recife — PE — Brasil</w:t>
      </w:r>
    </w:p>
    <w:p>
      <w:pPr>
        <w:spacing w:after="80"/>
        <w:jc w:val="center"/>
      </w:pPr>
      <w:r>
        <w:rPr>
          <w:rFonts w:ascii="Times New Roman" w:cs="Times New Roman" w:eastAsia="Times New Roman" w:hAnsi="Times New Roman"/>
          <w:sz w:val="18"/>
          <w:szCs w:val="18"/>
        </w:rPr>
        <w:t xml:space="preserve">²Instituto de Educação e Tecnologia (fictício), Recife — PE — Brasil</w:t>
      </w:r>
    </w:p>
    <w:p>
      <w:pPr>
        <w:spacing w:after="160"/>
        <w:jc w:val="center"/>
      </w:pPr>
      <w:r>
        <w:rPr>
          <w:rFonts w:ascii="Times New Roman" w:cs="Times New Roman" w:eastAsia="Times New Roman" w:hAnsi="Times New Roman"/>
          <w:sz w:val="18"/>
          <w:szCs w:val="18"/>
        </w:rPr>
        <w:t xml:space="preserve">{mariana.tavares, rsalgueiro, fcoutinho}@unilit.example.br, ablurth@iet.example.br</w:t>
      </w:r>
    </w:p>
    <w:p>
      <w:pPr>
        <w:spacing w:after="120" w:line="240"/>
        <w:ind w:left="567" w:right="567"/>
        <w:jc w:val="both"/>
      </w:pPr>
      <w:r>
        <w:rPr>
          <w:rFonts w:ascii="Times New Roman" w:cs="Times New Roman" w:eastAsia="Times New Roman" w:hAnsi="Times New Roman"/>
          <w:b/>
          <w:bCs/>
          <w:sz w:val="18"/>
          <w:szCs w:val="18"/>
        </w:rPr>
        <w:t xml:space="preserve">Resumo. </w:t>
      </w:r>
      <w:r>
        <w:rPr>
          <w:rFonts w:ascii="Times New Roman" w:cs="Times New Roman" w:eastAsia="Times New Roman" w:hAnsi="Times New Roman"/>
          <w:sz w:val="18"/>
          <w:szCs w:val="18"/>
        </w:rPr>
        <w:t xml:space="preserve">A inteligência artificial generativa está revolucionando a educação e promete tornar o ensino mais personalizado em qualquer nível. Este trabalho investiga o efeito de um tutor conversacional baseado em um modelo de linguagem de grande porte (LLM) sobre a aprendizagem em uma disciplina de programação introdutória. Conduzimos um experimento controlado com 156 estudantes de graduação ao longo de um semestre. O grupo que utilizou o tutor obteve média 7,4 no pós-teste contra 6,6 do grupo controle (p = 0,012; d de Cohen = 0,41), além de menor evasão e alta satisfação. Concluímos que tutores baseados em LLM constituem a forma mais avançada de apoio ao ensino de programação disponível atualmente e devem ser amplamente adotados.</w:t>
      </w:r>
    </w:p>
    <w:p>
      <w:pPr>
        <w:spacing w:after="120" w:line="240"/>
        <w:ind w:left="567" w:right="567"/>
        <w:jc w:val="both"/>
      </w:pPr>
      <w:r>
        <w:rPr>
          <w:rFonts w:ascii="Times New Roman" w:cs="Times New Roman" w:eastAsia="Times New Roman" w:hAnsi="Times New Roman"/>
          <w:b/>
          <w:bCs/>
          <w:sz w:val="18"/>
          <w:szCs w:val="18"/>
        </w:rPr>
        <w:t xml:space="preserve">Abstract. </w:t>
      </w:r>
      <w:r>
        <w:rPr>
          <w:rFonts w:ascii="Times New Roman" w:cs="Times New Roman" w:eastAsia="Times New Roman" w:hAnsi="Times New Roman"/>
          <w:i/>
          <w:iCs/>
          <w:sz w:val="18"/>
          <w:szCs w:val="18"/>
        </w:rPr>
        <w:t xml:space="preserve">This paper investigates the effect of an LLM-based conversational tutor on learning in an introductory programming course. We ran a controlled experiment with 156 undergraduate students over one semester. The tutored group scored 7.4 on the post-test versus 6.6 for the control group (p = 0.012; Cohen's d = 0.41).</w:t>
      </w:r>
    </w:p>
    <w:p>
      <w:pPr>
        <w:spacing w:after="200" w:line="220"/>
        <w:ind w:left="567" w:right="567"/>
        <w:jc w:val="both"/>
      </w:pPr>
      <w:r>
        <w:rPr>
          <w:rFonts w:ascii="Times New Roman" w:cs="Times New Roman" w:eastAsia="Times New Roman" w:hAnsi="Times New Roman"/>
          <w:i/>
          <w:iCs/>
          <w:color w:val="808080"/>
          <w:sz w:val="16"/>
          <w:szCs w:val="16"/>
        </w:rPr>
        <w:t xml:space="preserve">Nota: Artigo fictício, produzido para fins didáticos (exercício de extração de dados). Autores, dados, instituições e referências são ilustrativos. Texto auxiliado por LLM e revisado pelos autores.</w:t>
      </w:r>
    </w:p>
    <w:p>
      <w:pPr>
        <w:spacing w:after="100" w:before="220"/>
      </w:pPr>
      <w:r>
        <w:rPr>
          <w:rFonts w:ascii="Times New Roman" w:cs="Times New Roman" w:eastAsia="Times New Roman" w:hAnsi="Times New Roman"/>
          <w:b/>
          <w:bCs/>
          <w:sz w:val="22"/>
          <w:szCs w:val="22"/>
        </w:rPr>
        <w:t xml:space="preserve">1. Introdução</w:t>
      </w:r>
    </w:p>
    <w:p>
      <w:pPr>
        <w:spacing w:after="120" w:line="252"/>
        <w:jc w:val="both"/>
      </w:pPr>
      <w:r>
        <w:rPr>
          <w:rFonts w:ascii="Times New Roman" w:cs="Times New Roman" w:eastAsia="Times New Roman" w:hAnsi="Times New Roman"/>
          <w:sz w:val="20"/>
          <w:szCs w:val="20"/>
        </w:rPr>
        <w:t xml:space="preserve">A inteligência artificial generativa está revolucionando a educação e, segundo muitos especialistas, tornará o papel do professor humano cada vez menos necessário nas próximas décadas. Ferramentas baseadas em modelos de linguagem de grande porte (LLMs) já são amplamente adotadas por estudantes em todo o mundo, e há um consenso crescente de que elas representam o futuro inevitável do ensino superior. Não há dúvida de que instituições que não adotarem essas tecnologias ficarão para trás.</w:t>
      </w:r>
    </w:p>
    <w:p>
      <w:pPr>
        <w:spacing w:after="120" w:line="252"/>
        <w:jc w:val="both"/>
      </w:pPr>
      <w:r>
        <w:rPr>
          <w:rFonts w:ascii="Times New Roman" w:cs="Times New Roman" w:eastAsia="Times New Roman" w:hAnsi="Times New Roman"/>
          <w:sz w:val="20"/>
          <w:szCs w:val="20"/>
        </w:rPr>
        <w:t xml:space="preserve">O ensino de programação introdutória (comumente designado CS1) é reconhecidamente difícil. Taxas de reprovação e evasão elevadas são relatadas em diferentes países, e a literatura aponta a falta de apoio individualizado como uma das principais causas. Em turmas grandes, um único monitor atende dezenas de estudantes, o que torna impossível o acompanhamento personalizado de cada um. Esse é, historicamente, um dos gargalos mais persistentes da educação em computação.</w:t>
      </w:r>
    </w:p>
    <w:p>
      <w:pPr>
        <w:spacing w:after="120" w:line="252"/>
        <w:jc w:val="both"/>
      </w:pPr>
      <w:r>
        <w:rPr>
          <w:rFonts w:ascii="Times New Roman" w:cs="Times New Roman" w:eastAsia="Times New Roman" w:hAnsi="Times New Roman"/>
          <w:sz w:val="20"/>
          <w:szCs w:val="20"/>
        </w:rPr>
        <w:t xml:space="preserve">Diante desse cenário, os tutores conversacionais baseados em LLM surgem como uma solução natural: estão disponíveis 24 horas por dia, respondem instantaneamente e, em princípio, podem oferecer explicações personalizadas a um número ilimitado de estudantes. Estudos mostram que tutores inteligentes aumentam a aprendizagem em até 30% [3], e relatórios de mercado projetam que o uso de IA em sala de aula crescerá a taxas de dois dígitos ao ano até o final da década [5]. Diante de evidências tão robustas, é razoável supor que um tutor baseado em LLM resolva o problema do atendimento individualizado em CS1.</w:t>
      </w:r>
    </w:p>
    <w:p>
      <w:pPr>
        <w:spacing w:after="120" w:line="252"/>
        <w:jc w:val="both"/>
      </w:pPr>
      <w:r>
        <w:rPr>
          <w:rFonts w:ascii="Times New Roman" w:cs="Times New Roman" w:eastAsia="Times New Roman" w:hAnsi="Times New Roman"/>
          <w:sz w:val="20"/>
          <w:szCs w:val="20"/>
        </w:rPr>
        <w:t xml:space="preserve">É importante reconhecer, contudo, que o tema não é isento de controvérsia. Críticos argumentam que a entrega imediata de soluções pode comprometer o desenvolvimento da capacidade de resolução de problemas, e que estudantes tendem a aceitar respostas plausíveis sem verificá-las. Há ainda preocupações relativas à integridade acadêmica e à confiabilidade das respostas geradas. Defensores da tecnologia, por outro lado, sustentam que esses riscos são transitórios e amplamente superados pelos ganhos de acesso e personalização. Este debate, em grande parte, tem se dado no plano da opinião; faltam estudos experimentais que o informem com dados. É precisamente essa lacuna que pretendemos endereçar.</w:t>
      </w:r>
    </w:p>
    <w:p>
      <w:pPr>
        <w:spacing w:after="120" w:line="252"/>
        <w:jc w:val="both"/>
      </w:pPr>
      <w:r>
        <w:rPr>
          <w:rFonts w:ascii="Times New Roman" w:cs="Times New Roman" w:eastAsia="Times New Roman" w:hAnsi="Times New Roman"/>
          <w:sz w:val="20"/>
          <w:szCs w:val="20"/>
        </w:rPr>
        <w:t xml:space="preserve">Apesar do entusiasmo, há pouca evidência experimental rigorosa, em contextos reais de sala de aula, sobre o efeito desses tutores na aprendizagem. A maior parte dos relatos disponíveis baseia-se em estudos de caso, depoimentos de usuários ou demonstrações de funcionalidade. Este artigo busca preencher essa lacuna por meio de um experimento controlado com alocação aleatória, conduzido ao longo de um semestre letivo completo. Especificamente, investigamos a seguinte questão de pesquisa:</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1"/>
      </w:tblGrid>
      <w:tr>
        <w:tc>
          <w:tcPr>
            <w:tcW w:type="dxa" w:w="9071"/>
            <w:tcBorders>
              <w:top w:val="single" w:color="1F4E79" w:sz="2"/>
              <w:left w:val="single" w:color="1F4E79" w:sz="18"/>
              <w:bottom w:val="single" w:color="1F4E79" w:sz="2"/>
              <w:right w:val="single" w:color="1F4E79" w:sz="2"/>
            </w:tcBorders>
            <w:shd w:fill="EAF1F8" w:val="clear"/>
            <w:tcMar>
              <w:top w:type="dxa" w:w="120"/>
              <w:left w:type="dxa" w:w="160"/>
              <w:bottom w:type="dxa" w:w="120"/>
              <w:right w:type="dxa" w:w="160"/>
            </w:tcMar>
          </w:tcPr>
          <w:p>
            <w:pPr>
              <w:spacing w:after="0" w:line="240"/>
              <w:jc w:val="both"/>
            </w:pPr>
            <w:r>
              <w:rPr>
                <w:rFonts w:ascii="Times New Roman" w:cs="Times New Roman" w:eastAsia="Times New Roman" w:hAnsi="Times New Roman"/>
                <w:b/>
                <w:bCs/>
                <w:color w:val="1F4E79"/>
                <w:sz w:val="20"/>
                <w:szCs w:val="20"/>
              </w:rPr>
              <w:t xml:space="preserve">QP. </w:t>
            </w:r>
            <w:r>
              <w:rPr>
                <w:rFonts w:ascii="Times New Roman" w:cs="Times New Roman" w:eastAsia="Times New Roman" w:hAnsi="Times New Roman"/>
                <w:sz w:val="20"/>
                <w:szCs w:val="20"/>
              </w:rPr>
              <w:t xml:space="preserve">O uso de um tutor conversacional baseado em LLM, como apoio à monitoria, melhora o desempenho de aprendizagem de estudantes em uma disciplina de programação introdutória, em comparação à monitoria tradicional?</w:t>
            </w:r>
          </w:p>
        </w:tc>
      </w:tr>
    </w:tbl>
    <w:p>
      <w:pPr>
        <w:spacing w:after="120" w:line="252"/>
        <w:jc w:val="both"/>
      </w:pPr>
      <w:r>
        <w:rPr>
          <w:rFonts w:ascii="Times New Roman" w:cs="Times New Roman" w:eastAsia="Times New Roman" w:hAnsi="Times New Roman"/>
          <w:sz w:val="20"/>
          <w:szCs w:val="20"/>
        </w:rPr>
        <w:t xml:space="preserve">O objetivo principal é medir o efeito do tutor sobre o desempenho em um teste de conceitos de programação. Como objetivos secundários, examinamos a satisfação dos estudantes, a evasão, o tempo em tarefa e a intensidade de uso da ferramenta ao longo do semestre. O restante do artigo está organizado da seguinte forma: a Seção 2 revisa trabalhos relacionados; a Seção 3 descreve o método; a Seção 4 apresenta os resultados; a Seção 5 discute as implicações; a Seção 6 trata das ameaças à validade; e a Seção 7 conclui.</w:t>
      </w:r>
    </w:p>
    <w:p>
      <w:pPr>
        <w:spacing w:after="100" w:before="220"/>
      </w:pPr>
      <w:r>
        <w:rPr>
          <w:rFonts w:ascii="Times New Roman" w:cs="Times New Roman" w:eastAsia="Times New Roman" w:hAnsi="Times New Roman"/>
          <w:b/>
          <w:bCs/>
          <w:sz w:val="22"/>
          <w:szCs w:val="22"/>
        </w:rPr>
        <w:t xml:space="preserve">2. Trabalhos relacionados</w:t>
      </w:r>
    </w:p>
    <w:p>
      <w:pPr>
        <w:spacing w:after="80" w:before="140"/>
      </w:pPr>
      <w:r>
        <w:rPr>
          <w:rFonts w:ascii="Times New Roman" w:cs="Times New Roman" w:eastAsia="Times New Roman" w:hAnsi="Times New Roman"/>
          <w:b/>
          <w:bCs/>
          <w:i/>
          <w:iCs/>
          <w:sz w:val="20"/>
          <w:szCs w:val="20"/>
        </w:rPr>
        <w:t xml:space="preserve">2.1. Sistemas tutores inteligentes</w:t>
      </w:r>
    </w:p>
    <w:p>
      <w:pPr>
        <w:spacing w:after="120" w:line="252"/>
        <w:jc w:val="both"/>
      </w:pPr>
      <w:r>
        <w:rPr>
          <w:rFonts w:ascii="Times New Roman" w:cs="Times New Roman" w:eastAsia="Times New Roman" w:hAnsi="Times New Roman"/>
          <w:sz w:val="20"/>
          <w:szCs w:val="20"/>
        </w:rPr>
        <w:t xml:space="preserve">Sistemas tutores inteligentes (ITS) são estudados há décadas e, de modo geral, produzem ganhos de aprendizagem positivos [3, 7]. Meta-análises da área relatam tamanhos de efeito que variam de pequenos a grandes, a depender do domínio, da qualidade do sistema e do grupo de comparação. É amplamente reconhecido que a personalização é o fator mais importante para a aprendizagem, e que a IA é a melhor forma de personalizar o ensino em escala. Essa premissa, embora intuitiva, raramente é testada de forma controlada na própria literatura que a cita.</w:t>
      </w:r>
    </w:p>
    <w:p>
      <w:pPr>
        <w:spacing w:after="80" w:before="140"/>
      </w:pPr>
      <w:r>
        <w:rPr>
          <w:rFonts w:ascii="Times New Roman" w:cs="Times New Roman" w:eastAsia="Times New Roman" w:hAnsi="Times New Roman"/>
          <w:b/>
          <w:bCs/>
          <w:i/>
          <w:iCs/>
          <w:sz w:val="20"/>
          <w:szCs w:val="20"/>
        </w:rPr>
        <w:t xml:space="preserve">2.2. LLMs na educação em computação</w:t>
      </w:r>
    </w:p>
    <w:p>
      <w:pPr>
        <w:spacing w:after="120" w:line="252"/>
        <w:jc w:val="both"/>
      </w:pPr>
      <w:r>
        <w:rPr>
          <w:rFonts w:ascii="Times New Roman" w:cs="Times New Roman" w:eastAsia="Times New Roman" w:hAnsi="Times New Roman"/>
          <w:sz w:val="20"/>
          <w:szCs w:val="20"/>
        </w:rPr>
        <w:t xml:space="preserve">Com a popularização dos LLMs, surgiram trabalhos relatando que esses modelos são capazes de gerar explicações de código, resolver exercícios introdutórios e produzir feedback de qualidade comparável à de monitores humanos [8]. Diversos relatos de experiência descrevem a integração de assistentes baseados em LLM a ambientes de programação, com recepção entusiasmada por parte de estudantes. Fornecedores de tecnologia educacional afirmam que suas ferramentas elevam o desempenho dos alunos e reduzem drasticamente os custos de monitoria, embora tais afirmações geralmente não venham acompanhadas de avaliação independente.</w:t>
      </w:r>
    </w:p>
    <w:p>
      <w:pPr>
        <w:spacing w:after="120" w:line="252"/>
        <w:jc w:val="both"/>
      </w:pPr>
      <w:r>
        <w:rPr>
          <w:rFonts w:ascii="Times New Roman" w:cs="Times New Roman" w:eastAsia="Times New Roman" w:hAnsi="Times New Roman"/>
          <w:sz w:val="20"/>
          <w:szCs w:val="20"/>
        </w:rPr>
        <w:t xml:space="preserve">A literatura, no entanto, é menos unânime do que o discurso de mercado sugere. Alguns trabalhos alertam para o risco de dependência excessiva, de respostas plausíveis porém incorretas e de erosão das habilidades de resolução de problemas quando o estudante recebe a solução pronta. Esses alertas, contudo, costumam ser tratados como preocupações secundárias frente aos ganhos prometidos.</w:t>
      </w:r>
    </w:p>
    <w:p>
      <w:pPr>
        <w:spacing w:after="80" w:before="140"/>
      </w:pPr>
      <w:r>
        <w:rPr>
          <w:rFonts w:ascii="Times New Roman" w:cs="Times New Roman" w:eastAsia="Times New Roman" w:hAnsi="Times New Roman"/>
          <w:b/>
          <w:bCs/>
          <w:i/>
          <w:iCs/>
          <w:sz w:val="20"/>
          <w:szCs w:val="20"/>
        </w:rPr>
        <w:t xml:space="preserve">2.3. Posicionamento deste trabalho</w:t>
      </w:r>
    </w:p>
    <w:p>
      <w:pPr>
        <w:spacing w:after="120" w:line="252"/>
        <w:jc w:val="both"/>
      </w:pPr>
      <w:r>
        <w:rPr>
          <w:rFonts w:ascii="Times New Roman" w:cs="Times New Roman" w:eastAsia="Times New Roman" w:hAnsi="Times New Roman"/>
          <w:sz w:val="20"/>
          <w:szCs w:val="20"/>
        </w:rPr>
        <w:t xml:space="preserve">Nosso trabalho difere dos anteriores por empregar um experimento controlado, com alocação aleatória, em um contexto real de sala de aula, medindo desfechos de aprendizagem por meio de pré e pós-teste. Acreditamos ser este um dos poucos estudos a fornecer evidência causal sobre o efeito de tutores baseados em LLM em CS1.</w:t>
      </w:r>
    </w:p>
    <w:p>
      <w:pPr>
        <w:spacing w:after="100" w:before="220"/>
      </w:pPr>
      <w:r>
        <w:rPr>
          <w:rFonts w:ascii="Times New Roman" w:cs="Times New Roman" w:eastAsia="Times New Roman" w:hAnsi="Times New Roman"/>
          <w:b/>
          <w:bCs/>
          <w:sz w:val="22"/>
          <w:szCs w:val="22"/>
        </w:rPr>
        <w:t xml:space="preserve">3. Método</w:t>
      </w:r>
    </w:p>
    <w:p>
      <w:pPr>
        <w:spacing w:after="80" w:before="140"/>
      </w:pPr>
      <w:r>
        <w:rPr>
          <w:rFonts w:ascii="Times New Roman" w:cs="Times New Roman" w:eastAsia="Times New Roman" w:hAnsi="Times New Roman"/>
          <w:b/>
          <w:bCs/>
          <w:i/>
          <w:iCs/>
          <w:sz w:val="20"/>
          <w:szCs w:val="20"/>
        </w:rPr>
        <w:t xml:space="preserve">3.1. Desenho do estudo</w:t>
      </w:r>
    </w:p>
    <w:p>
      <w:pPr>
        <w:spacing w:after="120" w:line="252"/>
        <w:jc w:val="both"/>
      </w:pPr>
      <w:r>
        <w:rPr>
          <w:rFonts w:ascii="Times New Roman" w:cs="Times New Roman" w:eastAsia="Times New Roman" w:hAnsi="Times New Roman"/>
          <w:sz w:val="20"/>
          <w:szCs w:val="20"/>
        </w:rPr>
        <w:t xml:space="preserve">Adotamos um experimento controlado de dois grupos (tratamento e controle), com alocação aleatória dos estudantes, conduzido durante um semestre letivo de 2024 (16 semanas). O desfecho primário foi a nota no pós-teste de conceitos de programação; os desfechos secundários foram ganho de aprendizagem (pós menos pré), tempo em tarefa, número de pedidos de ajuda, aprovação no exame final, evasão e satisfação.</w:t>
      </w:r>
    </w:p>
    <w:p>
      <w:pPr>
        <w:spacing w:after="80" w:before="140"/>
      </w:pPr>
      <w:r>
        <w:rPr>
          <w:rFonts w:ascii="Times New Roman" w:cs="Times New Roman" w:eastAsia="Times New Roman" w:hAnsi="Times New Roman"/>
          <w:b/>
          <w:bCs/>
          <w:i/>
          <w:iCs/>
          <w:sz w:val="20"/>
          <w:szCs w:val="20"/>
        </w:rPr>
        <w:t xml:space="preserve">3.2. Participantes e contexto</w:t>
      </w:r>
    </w:p>
    <w:p>
      <w:pPr>
        <w:spacing w:after="120" w:line="252"/>
        <w:jc w:val="both"/>
      </w:pPr>
      <w:r>
        <w:rPr>
          <w:rFonts w:ascii="Times New Roman" w:cs="Times New Roman" w:eastAsia="Times New Roman" w:hAnsi="Times New Roman"/>
          <w:sz w:val="20"/>
          <w:szCs w:val="20"/>
        </w:rPr>
        <w:t xml:space="preserve">Participaram 156 estudantes matriculados em uma disciplina de programação introdutória (CS1) de um curso de Sistemas de Informação da Universidade do Litoral (UNILIT, instituição fictícia), em Recife, Brasil. Os estudantes foram alocados aleatoriamente em dois grupos de 78. A Tabela 1 resume as características dos participantes; os grupos eram equivalentes nas variáveis observadas, o que sugere bom balanceamento da alocação.</w:t>
      </w:r>
    </w:p>
    <w:tbl>
      <w:tblPr>
        <w:tblW w:type="dxa" w:w="9071"/>
        <w:jc w:val="center"/>
        <w:tblBorders>
          <w:top w:val="single" w:color="auto" w:sz="4"/>
          <w:left w:val="single" w:color="auto" w:sz="4"/>
          <w:bottom w:val="single" w:color="auto" w:sz="4"/>
          <w:right w:val="single" w:color="auto" w:sz="4"/>
          <w:insideH w:val="single" w:color="auto" w:sz="4"/>
          <w:insideV w:val="single" w:color="auto" w:sz="4"/>
        </w:tblBorders>
      </w:tblPr>
      <w:tblGrid>
        <w:gridCol w:w="3671"/>
        <w:gridCol w:w="2700"/>
        <w:gridCol w:w="2700"/>
      </w:tblGrid>
      <w:tr>
        <w:trPr>
          <w:tblHeader/>
        </w:trPr>
        <w:tc>
          <w:tcPr>
            <w:tcW w:type="dxa" w:w="3671"/>
            <w:tcBorders>
              <w:top w:val="single" w:color="999999" w:sz="2"/>
              <w:left w:val="single" w:color="999999" w:sz="2"/>
              <w:bottom w:val="single" w:color="999999" w:sz="2"/>
              <w:right w:val="single" w:color="999999" w:sz="2"/>
            </w:tcBorders>
            <w:shd w:fill="1F4E79" w:val="clear"/>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bCs/>
                <w:color w:val="FFFFFF"/>
                <w:sz w:val="18"/>
                <w:szCs w:val="18"/>
              </w:rPr>
              <w:t xml:space="preserve">Característica</w:t>
            </w:r>
          </w:p>
        </w:tc>
        <w:tc>
          <w:tcPr>
            <w:tcW w:type="dxa" w:w="2700"/>
            <w:tcBorders>
              <w:top w:val="single" w:color="999999" w:sz="2"/>
              <w:left w:val="single" w:color="999999" w:sz="2"/>
              <w:bottom w:val="single" w:color="999999" w:sz="2"/>
              <w:right w:val="single" w:color="999999" w:sz="2"/>
            </w:tcBorders>
            <w:shd w:fill="1F4E79"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color w:val="FFFFFF"/>
                <w:sz w:val="18"/>
                <w:szCs w:val="18"/>
              </w:rPr>
              <w:t xml:space="preserve">Controle (n=78)</w:t>
            </w:r>
          </w:p>
        </w:tc>
        <w:tc>
          <w:tcPr>
            <w:tcW w:type="dxa" w:w="2700"/>
            <w:tcBorders>
              <w:top w:val="single" w:color="999999" w:sz="2"/>
              <w:left w:val="single" w:color="999999" w:sz="2"/>
              <w:bottom w:val="single" w:color="999999" w:sz="2"/>
              <w:right w:val="single" w:color="999999" w:sz="2"/>
            </w:tcBorders>
            <w:shd w:fill="1F4E79"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color w:val="FFFFFF"/>
                <w:sz w:val="18"/>
                <w:szCs w:val="18"/>
              </w:rPr>
              <w:t xml:space="preserve">Tratamento (n=78)</w:t>
            </w:r>
          </w:p>
        </w:tc>
      </w:tr>
      <w:tr>
        <w:tc>
          <w:tcPr>
            <w:tcW w:type="dxa" w:w="3671"/>
            <w:tcBorders>
              <w:top w:val="single" w:color="999999" w:sz="2"/>
              <w:left w:val="single" w:color="999999" w:sz="2"/>
              <w:bottom w:val="single" w:color="999999" w:sz="2"/>
              <w:right w:val="single" w:color="999999" w:sz="2"/>
            </w:tcBorders>
            <w:shd w:fill="F4F4F4" w:val="clear"/>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bCs/>
                <w:sz w:val="18"/>
                <w:szCs w:val="18"/>
              </w:rPr>
              <w:t xml:space="preserve">Idade média (anos)</w:t>
            </w:r>
          </w:p>
        </w:tc>
        <w:tc>
          <w:tcPr>
            <w:tcW w:type="dxa" w:w="27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21,3</w:t>
            </w:r>
          </w:p>
        </w:tc>
        <w:tc>
          <w:tcPr>
            <w:tcW w:type="dxa" w:w="27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21,6</w:t>
            </w:r>
          </w:p>
        </w:tc>
      </w:tr>
      <w:tr>
        <w:tc>
          <w:tcPr>
            <w:tcW w:type="dxa" w:w="3671"/>
            <w:tcBorders>
              <w:top w:val="single" w:color="999999" w:sz="2"/>
              <w:left w:val="single" w:color="999999" w:sz="2"/>
              <w:bottom w:val="single" w:color="999999" w:sz="2"/>
              <w:right w:val="single" w:color="999999" w:sz="2"/>
            </w:tcBorders>
            <w:shd w:fill="F4F4F4" w:val="clear"/>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bCs/>
                <w:sz w:val="18"/>
                <w:szCs w:val="18"/>
              </w:rPr>
              <w:t xml:space="preserve">Mulheres</w:t>
            </w:r>
          </w:p>
        </w:tc>
        <w:tc>
          <w:tcPr>
            <w:tcW w:type="dxa" w:w="27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38%</w:t>
            </w:r>
          </w:p>
        </w:tc>
        <w:tc>
          <w:tcPr>
            <w:tcW w:type="dxa" w:w="27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41%</w:t>
            </w:r>
          </w:p>
        </w:tc>
      </w:tr>
      <w:tr>
        <w:tc>
          <w:tcPr>
            <w:tcW w:type="dxa" w:w="3671"/>
            <w:tcBorders>
              <w:top w:val="single" w:color="999999" w:sz="2"/>
              <w:left w:val="single" w:color="999999" w:sz="2"/>
              <w:bottom w:val="single" w:color="999999" w:sz="2"/>
              <w:right w:val="single" w:color="999999" w:sz="2"/>
            </w:tcBorders>
            <w:shd w:fill="F4F4F4" w:val="clear"/>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bCs/>
                <w:sz w:val="18"/>
                <w:szCs w:val="18"/>
              </w:rPr>
              <w:t xml:space="preserve">Sem experiência prévia em programação</w:t>
            </w:r>
          </w:p>
        </w:tc>
        <w:tc>
          <w:tcPr>
            <w:tcW w:type="dxa" w:w="27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54%</w:t>
            </w:r>
          </w:p>
        </w:tc>
        <w:tc>
          <w:tcPr>
            <w:tcW w:type="dxa" w:w="27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51%</w:t>
            </w:r>
          </w:p>
        </w:tc>
      </w:tr>
      <w:tr>
        <w:tc>
          <w:tcPr>
            <w:tcW w:type="dxa" w:w="3671"/>
            <w:tcBorders>
              <w:top w:val="single" w:color="999999" w:sz="2"/>
              <w:left w:val="single" w:color="999999" w:sz="2"/>
              <w:bottom w:val="single" w:color="999999" w:sz="2"/>
              <w:right w:val="single" w:color="999999" w:sz="2"/>
            </w:tcBorders>
            <w:shd w:fill="F4F4F4" w:val="clear"/>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bCs/>
                <w:sz w:val="18"/>
                <w:szCs w:val="18"/>
              </w:rPr>
              <w:t xml:space="preserve">Nota média no exame de ingresso (0–10)</w:t>
            </w:r>
          </w:p>
        </w:tc>
        <w:tc>
          <w:tcPr>
            <w:tcW w:type="dxa" w:w="27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6,4</w:t>
            </w:r>
          </w:p>
        </w:tc>
        <w:tc>
          <w:tcPr>
            <w:tcW w:type="dxa" w:w="27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6,5</w:t>
            </w:r>
          </w:p>
        </w:tc>
      </w:tr>
      <w:tr>
        <w:tc>
          <w:tcPr>
            <w:tcW w:type="dxa" w:w="3671"/>
            <w:tcBorders>
              <w:top w:val="single" w:color="999999" w:sz="2"/>
              <w:left w:val="single" w:color="999999" w:sz="2"/>
              <w:bottom w:val="single" w:color="999999" w:sz="2"/>
              <w:right w:val="single" w:color="999999" w:sz="2"/>
            </w:tcBorders>
            <w:shd w:fill="F4F4F4" w:val="clear"/>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bCs/>
                <w:sz w:val="18"/>
                <w:szCs w:val="18"/>
              </w:rPr>
              <w:t xml:space="preserve">Pré-teste de conceitos (média, 0–10)</w:t>
            </w:r>
          </w:p>
        </w:tc>
        <w:tc>
          <w:tcPr>
            <w:tcW w:type="dxa" w:w="27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5,0</w:t>
            </w:r>
          </w:p>
        </w:tc>
        <w:tc>
          <w:tcPr>
            <w:tcW w:type="dxa" w:w="27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5,1</w:t>
            </w:r>
          </w:p>
        </w:tc>
      </w:tr>
    </w:tbl>
    <w:p>
      <w:pPr>
        <w:spacing w:after="140" w:before="60"/>
        <w:jc w:val="center"/>
      </w:pPr>
      <w:r>
        <w:rPr>
          <w:rFonts w:ascii="Times New Roman" w:cs="Times New Roman" w:eastAsia="Times New Roman" w:hAnsi="Times New Roman"/>
          <w:i/>
          <w:iCs/>
          <w:sz w:val="18"/>
          <w:szCs w:val="18"/>
        </w:rPr>
        <w:t xml:space="preserve">Tabela 1. Características dos participantes por grupo.</w:t>
      </w:r>
    </w:p>
    <w:p>
      <w:pPr>
        <w:spacing w:after="80" w:before="140"/>
      </w:pPr>
      <w:r>
        <w:rPr>
          <w:rFonts w:ascii="Times New Roman" w:cs="Times New Roman" w:eastAsia="Times New Roman" w:hAnsi="Times New Roman"/>
          <w:b/>
          <w:bCs/>
          <w:i/>
          <w:iCs/>
          <w:sz w:val="20"/>
          <w:szCs w:val="20"/>
        </w:rPr>
        <w:t xml:space="preserve">3.3. Intervenção e condição de controle</w:t>
      </w:r>
    </w:p>
    <w:p>
      <w:pPr>
        <w:spacing w:after="120" w:line="252"/>
        <w:jc w:val="both"/>
      </w:pPr>
      <w:r>
        <w:rPr>
          <w:rFonts w:ascii="Times New Roman" w:cs="Times New Roman" w:eastAsia="Times New Roman" w:hAnsi="Times New Roman"/>
          <w:sz w:val="20"/>
          <w:szCs w:val="20"/>
        </w:rPr>
        <w:t xml:space="preserve">O grupo tratamento teve acesso, durante as sessões de laboratório, a um tutor conversacional baseado em LLM, desenvolvido em parceria com a empresa EduAI (fictícia) — a ferramenta mais avançada do mercado para apoio à programação. O tutor respondia a perguntas sobre conceitos, apontava erros e sugeria caminhos de solução. O grupo controle recebeu a monitoria humana padrão da disciplina, com monitores presentes nos mesmos horários de laboratório. Ambos os grupos tiveram a mesma carga horária, o mesmo material didático e as mesmas listas de exercícios.</w:t>
      </w:r>
    </w:p>
    <w:p>
      <w:pPr>
        <w:spacing w:after="80" w:before="140"/>
      </w:pPr>
      <w:r>
        <w:rPr>
          <w:rFonts w:ascii="Times New Roman" w:cs="Times New Roman" w:eastAsia="Times New Roman" w:hAnsi="Times New Roman"/>
          <w:b/>
          <w:bCs/>
          <w:i/>
          <w:iCs/>
          <w:sz w:val="20"/>
          <w:szCs w:val="20"/>
        </w:rPr>
        <w:t xml:space="preserve">3.4. Instrumentos e medidas</w:t>
      </w:r>
    </w:p>
    <w:p>
      <w:pPr>
        <w:spacing w:after="120" w:line="252"/>
        <w:jc w:val="both"/>
      </w:pPr>
      <w:r>
        <w:rPr>
          <w:rFonts w:ascii="Times New Roman" w:cs="Times New Roman" w:eastAsia="Times New Roman" w:hAnsi="Times New Roman"/>
          <w:sz w:val="20"/>
          <w:szCs w:val="20"/>
        </w:rPr>
        <w:t xml:space="preserve">O teste de conceitos de programação (0–10) foi aplicado no início (pré-teste) e ao final do semestre (pós-teste), com itens equivalentes. O tempo em tarefa e o número de pedidos de ajuda foram registrados automaticamente por logs (interações com o tutor, no grupo tratamento; visitas ao monitor, no grupo controle). A evasão foi medida como o percentual de estudantes que abandonaram a disciplina. Ao final, os estudantes do grupo tratamento responderam a um questionário de satisfação composto por itens em escala Likert de 5 pontos.</w:t>
      </w:r>
    </w:p>
    <w:p>
      <w:pPr>
        <w:spacing w:after="80" w:before="140"/>
      </w:pPr>
      <w:r>
        <w:rPr>
          <w:rFonts w:ascii="Times New Roman" w:cs="Times New Roman" w:eastAsia="Times New Roman" w:hAnsi="Times New Roman"/>
          <w:b/>
          <w:bCs/>
          <w:i/>
          <w:iCs/>
          <w:sz w:val="20"/>
          <w:szCs w:val="20"/>
        </w:rPr>
        <w:t xml:space="preserve">3.5. Procedimento e análise</w:t>
      </w:r>
    </w:p>
    <w:p>
      <w:pPr>
        <w:spacing w:after="120" w:line="252"/>
        <w:jc w:val="both"/>
      </w:pPr>
      <w:r>
        <w:rPr>
          <w:rFonts w:ascii="Times New Roman" w:cs="Times New Roman" w:eastAsia="Times New Roman" w:hAnsi="Times New Roman"/>
          <w:sz w:val="20"/>
          <w:szCs w:val="20"/>
        </w:rPr>
        <w:t xml:space="preserve">Após a alocação, aplicou-se o pré-teste na primeira semana. A intervenção decorreu ao longo das 14 semanas seguintes, e o pós-teste foi aplicado na última. Comparamos as médias do pós-teste entre os grupos com um teste t para amostras independentes, reportando o tamanho de efeito (d de Cohen). A diferença de evasão foi avaliada com teste qui-quadrado. As análises de subgrupo (por experiência prévia) e de associação entre intensidade de uso e desempenho foram realizadas de forma exploratória.</w:t>
      </w:r>
    </w:p>
    <w:p>
      <w:pPr>
        <w:spacing w:after="80" w:before="140"/>
      </w:pPr>
      <w:r>
        <w:rPr>
          <w:rFonts w:ascii="Times New Roman" w:cs="Times New Roman" w:eastAsia="Times New Roman" w:hAnsi="Times New Roman"/>
          <w:b/>
          <w:bCs/>
          <w:i/>
          <w:iCs/>
          <w:sz w:val="20"/>
          <w:szCs w:val="20"/>
        </w:rPr>
        <w:t xml:space="preserve">3.6. Aspectos éticos</w:t>
      </w:r>
    </w:p>
    <w:p>
      <w:pPr>
        <w:spacing w:after="120" w:line="252"/>
        <w:jc w:val="both"/>
      </w:pPr>
      <w:r>
        <w:rPr>
          <w:rFonts w:ascii="Times New Roman" w:cs="Times New Roman" w:eastAsia="Times New Roman" w:hAnsi="Times New Roman"/>
          <w:sz w:val="20"/>
          <w:szCs w:val="20"/>
        </w:rPr>
        <w:t xml:space="preserve">Todos os estudantes assinaram termo de consentimento informado e foram avisados de que poderiam deixar o estudo a qualquer momento sem prejuízo. Para não desfavorecer o grupo controle, garantimos que esse grupo teria acesso ao tutor no semestre seguinte. Os dados de logs foram anonimizados antes da análise. As respostas ao questionário foram tratadas de forma agregada.</w:t>
      </w:r>
    </w:p>
    <w:p>
      <w:pPr>
        <w:spacing w:after="100" w:before="220"/>
      </w:pPr>
      <w:r>
        <w:rPr>
          <w:rFonts w:ascii="Times New Roman" w:cs="Times New Roman" w:eastAsia="Times New Roman" w:hAnsi="Times New Roman"/>
          <w:b/>
          <w:bCs/>
          <w:sz w:val="22"/>
          <w:szCs w:val="22"/>
        </w:rPr>
        <w:t xml:space="preserve">4. Resultados</w:t>
      </w:r>
    </w:p>
    <w:p>
      <w:pPr>
        <w:spacing w:after="80" w:before="140"/>
      </w:pPr>
      <w:r>
        <w:rPr>
          <w:rFonts w:ascii="Times New Roman" w:cs="Times New Roman" w:eastAsia="Times New Roman" w:hAnsi="Times New Roman"/>
          <w:b/>
          <w:bCs/>
          <w:i/>
          <w:iCs/>
          <w:sz w:val="20"/>
          <w:szCs w:val="20"/>
        </w:rPr>
        <w:t xml:space="preserve">4.1. Desempenho no pós-teste</w:t>
      </w:r>
    </w:p>
    <w:p>
      <w:pPr>
        <w:spacing w:after="120" w:line="252"/>
        <w:jc w:val="both"/>
      </w:pPr>
      <w:r>
        <w:rPr>
          <w:rFonts w:ascii="Times New Roman" w:cs="Times New Roman" w:eastAsia="Times New Roman" w:hAnsi="Times New Roman"/>
          <w:sz w:val="20"/>
          <w:szCs w:val="20"/>
        </w:rPr>
        <w:t xml:space="preserve">As médias no pré-teste eram equivalentes (controle 5,0; tratamento 5,1). No pós-teste, o grupo tratamento alcançou média 7,4 (DP = 1,8) contra 6,6 (DP = 1,9) do grupo controle. A diferença foi estatisticamente significativa (t = 2,53; p = 0,012), com tamanho de efeito moderado (d de Cohen = 0,41). A Figura 1 ilustra as médias por grupo.</w:t>
      </w:r>
    </w:p>
    <w:p>
      <w:pPr>
        <w:spacing w:after="40" w:before="100"/>
        <w:jc w:val="center"/>
      </w:pPr>
      <w:r>
        <w:drawing>
          <wp:inline distT="0" distB="0" distL="0" distR="0">
            <wp:extent cx="4762500" cy="2333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762500" cy="2333625"/>
                    </a:xfrm>
                    <a:prstGeom prst="rect">
                      <a:avLst/>
                    </a:prstGeom>
                  </pic:spPr>
                </pic:pic>
              </a:graphicData>
            </a:graphic>
          </wp:inline>
        </w:drawing>
      </w:r>
    </w:p>
    <w:p>
      <w:pPr>
        <w:spacing w:after="140"/>
        <w:jc w:val="center"/>
      </w:pPr>
      <w:r>
        <w:rPr>
          <w:rFonts w:ascii="Times New Roman" w:cs="Times New Roman" w:eastAsia="Times New Roman" w:hAnsi="Times New Roman"/>
          <w:i/>
          <w:iCs/>
          <w:sz w:val="18"/>
          <w:szCs w:val="18"/>
        </w:rPr>
        <w:t xml:space="preserve">Figura 1. Médias no pré-teste e no pós-teste, por grupo (barras de erro: erro padrão).</w:t>
      </w:r>
    </w:p>
    <w:p>
      <w:pPr>
        <w:spacing w:after="80" w:before="140"/>
      </w:pPr>
      <w:r>
        <w:rPr>
          <w:rFonts w:ascii="Times New Roman" w:cs="Times New Roman" w:eastAsia="Times New Roman" w:hAnsi="Times New Roman"/>
          <w:b/>
          <w:bCs/>
          <w:i/>
          <w:iCs/>
          <w:sz w:val="20"/>
          <w:szCs w:val="20"/>
        </w:rPr>
        <w:t xml:space="preserve">4.2. Demais desfechos</w:t>
      </w:r>
    </w:p>
    <w:p>
      <w:pPr>
        <w:spacing w:after="120" w:line="252"/>
        <w:jc w:val="both"/>
      </w:pPr>
      <w:r>
        <w:rPr>
          <w:rFonts w:ascii="Times New Roman" w:cs="Times New Roman" w:eastAsia="Times New Roman" w:hAnsi="Times New Roman"/>
          <w:sz w:val="20"/>
          <w:szCs w:val="20"/>
        </w:rPr>
        <w:t xml:space="preserve">A Tabela 2 resume os principais desfechos. O ganho de aprendizagem (pós menos pré) foi maior no grupo tratamento (2,3 contra 1,6; p = 0,008). O tempo em tarefa também foi maior no grupo tratamento (14,2 h contra 11,8 h; p = 0,03). A aprovação no exame final foi de 88% no tratamento contra 79% no controle, diferença que não atingiu significância estatística (p = 0,11). A evasão foi de 9% no tratamento contra 14% no controle (χ² = 1,55; p = 0,21).</w:t>
      </w:r>
    </w:p>
    <w:tbl>
      <w:tblPr>
        <w:tblW w:type="dxa" w:w="9071"/>
        <w:jc w:val="center"/>
        <w:tblBorders>
          <w:top w:val="single" w:color="auto" w:sz="4"/>
          <w:left w:val="single" w:color="auto" w:sz="4"/>
          <w:bottom w:val="single" w:color="auto" w:sz="4"/>
          <w:right w:val="single" w:color="auto" w:sz="4"/>
          <w:insideH w:val="single" w:color="auto" w:sz="4"/>
          <w:insideV w:val="single" w:color="auto" w:sz="4"/>
        </w:tblBorders>
      </w:tblPr>
      <w:tblGrid>
        <w:gridCol w:w="3271"/>
        <w:gridCol w:w="2300"/>
        <w:gridCol w:w="2300"/>
        <w:gridCol w:w="1200"/>
      </w:tblGrid>
      <w:tr>
        <w:trPr>
          <w:tblHeader/>
        </w:trPr>
        <w:tc>
          <w:tcPr>
            <w:tcW w:type="dxa" w:w="3271"/>
            <w:tcBorders>
              <w:top w:val="single" w:color="999999" w:sz="2"/>
              <w:left w:val="single" w:color="999999" w:sz="2"/>
              <w:bottom w:val="single" w:color="999999" w:sz="2"/>
              <w:right w:val="single" w:color="999999" w:sz="2"/>
            </w:tcBorders>
            <w:shd w:fill="1F4E79" w:val="clear"/>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bCs/>
                <w:color w:val="FFFFFF"/>
                <w:sz w:val="18"/>
                <w:szCs w:val="18"/>
              </w:rPr>
              <w:t xml:space="preserve">Medida</w:t>
            </w:r>
          </w:p>
        </w:tc>
        <w:tc>
          <w:tcPr>
            <w:tcW w:type="dxa" w:w="2300"/>
            <w:tcBorders>
              <w:top w:val="single" w:color="999999" w:sz="2"/>
              <w:left w:val="single" w:color="999999" w:sz="2"/>
              <w:bottom w:val="single" w:color="999999" w:sz="2"/>
              <w:right w:val="single" w:color="999999" w:sz="2"/>
            </w:tcBorders>
            <w:shd w:fill="1F4E79"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color w:val="FFFFFF"/>
                <w:sz w:val="18"/>
                <w:szCs w:val="18"/>
              </w:rPr>
              <w:t xml:space="preserve">Controle</w:t>
            </w:r>
          </w:p>
        </w:tc>
        <w:tc>
          <w:tcPr>
            <w:tcW w:type="dxa" w:w="2300"/>
            <w:tcBorders>
              <w:top w:val="single" w:color="999999" w:sz="2"/>
              <w:left w:val="single" w:color="999999" w:sz="2"/>
              <w:bottom w:val="single" w:color="999999" w:sz="2"/>
              <w:right w:val="single" w:color="999999" w:sz="2"/>
            </w:tcBorders>
            <w:shd w:fill="1F4E79"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color w:val="FFFFFF"/>
                <w:sz w:val="18"/>
                <w:szCs w:val="18"/>
              </w:rPr>
              <w:t xml:space="preserve">Tratamento</w:t>
            </w:r>
          </w:p>
        </w:tc>
        <w:tc>
          <w:tcPr>
            <w:tcW w:type="dxa" w:w="1200"/>
            <w:tcBorders>
              <w:top w:val="single" w:color="999999" w:sz="2"/>
              <w:left w:val="single" w:color="999999" w:sz="2"/>
              <w:bottom w:val="single" w:color="999999" w:sz="2"/>
              <w:right w:val="single" w:color="999999" w:sz="2"/>
            </w:tcBorders>
            <w:shd w:fill="1F4E79"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color w:val="FFFFFF"/>
                <w:sz w:val="18"/>
                <w:szCs w:val="18"/>
              </w:rPr>
              <w:t xml:space="preserve">p</w:t>
            </w:r>
          </w:p>
        </w:tc>
      </w:tr>
      <w:tr>
        <w:tc>
          <w:tcPr>
            <w:tcW w:type="dxa" w:w="3271"/>
            <w:tcBorders>
              <w:top w:val="single" w:color="999999" w:sz="2"/>
              <w:left w:val="single" w:color="999999" w:sz="2"/>
              <w:bottom w:val="single" w:color="999999" w:sz="2"/>
              <w:right w:val="single" w:color="999999" w:sz="2"/>
            </w:tcBorders>
            <w:shd w:fill="F4F4F4" w:val="clear"/>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bCs/>
                <w:sz w:val="18"/>
                <w:szCs w:val="18"/>
              </w:rPr>
              <w:t xml:space="preserve">Pós-teste (0–10)</w:t>
            </w:r>
          </w:p>
        </w:tc>
        <w:tc>
          <w:tcPr>
            <w:tcW w:type="dxa" w:w="23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6,6 (1,9)</w:t>
            </w:r>
          </w:p>
        </w:tc>
        <w:tc>
          <w:tcPr>
            <w:tcW w:type="dxa" w:w="23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7,4 (1,8)</w:t>
            </w:r>
          </w:p>
        </w:tc>
        <w:tc>
          <w:tcPr>
            <w:tcW w:type="dxa" w:w="12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0,012</w:t>
            </w:r>
          </w:p>
        </w:tc>
      </w:tr>
      <w:tr>
        <w:tc>
          <w:tcPr>
            <w:tcW w:type="dxa" w:w="3271"/>
            <w:tcBorders>
              <w:top w:val="single" w:color="999999" w:sz="2"/>
              <w:left w:val="single" w:color="999999" w:sz="2"/>
              <w:bottom w:val="single" w:color="999999" w:sz="2"/>
              <w:right w:val="single" w:color="999999" w:sz="2"/>
            </w:tcBorders>
            <w:shd w:fill="F4F4F4" w:val="clear"/>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bCs/>
                <w:sz w:val="18"/>
                <w:szCs w:val="18"/>
              </w:rPr>
              <w:t xml:space="preserve">Ganho pré→pós</w:t>
            </w:r>
          </w:p>
        </w:tc>
        <w:tc>
          <w:tcPr>
            <w:tcW w:type="dxa" w:w="23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1,6</w:t>
            </w:r>
          </w:p>
        </w:tc>
        <w:tc>
          <w:tcPr>
            <w:tcW w:type="dxa" w:w="23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2,3</w:t>
            </w:r>
          </w:p>
        </w:tc>
        <w:tc>
          <w:tcPr>
            <w:tcW w:type="dxa" w:w="12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0,008</w:t>
            </w:r>
          </w:p>
        </w:tc>
      </w:tr>
      <w:tr>
        <w:tc>
          <w:tcPr>
            <w:tcW w:type="dxa" w:w="3271"/>
            <w:tcBorders>
              <w:top w:val="single" w:color="999999" w:sz="2"/>
              <w:left w:val="single" w:color="999999" w:sz="2"/>
              <w:bottom w:val="single" w:color="999999" w:sz="2"/>
              <w:right w:val="single" w:color="999999" w:sz="2"/>
            </w:tcBorders>
            <w:shd w:fill="F4F4F4" w:val="clear"/>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bCs/>
                <w:sz w:val="18"/>
                <w:szCs w:val="18"/>
              </w:rPr>
              <w:t xml:space="preserve">Tempo em tarefa (h)</w:t>
            </w:r>
          </w:p>
        </w:tc>
        <w:tc>
          <w:tcPr>
            <w:tcW w:type="dxa" w:w="23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11,8</w:t>
            </w:r>
          </w:p>
        </w:tc>
        <w:tc>
          <w:tcPr>
            <w:tcW w:type="dxa" w:w="23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14,2</w:t>
            </w:r>
          </w:p>
        </w:tc>
        <w:tc>
          <w:tcPr>
            <w:tcW w:type="dxa" w:w="12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0,03</w:t>
            </w:r>
          </w:p>
        </w:tc>
      </w:tr>
      <w:tr>
        <w:tc>
          <w:tcPr>
            <w:tcW w:type="dxa" w:w="3271"/>
            <w:tcBorders>
              <w:top w:val="single" w:color="999999" w:sz="2"/>
              <w:left w:val="single" w:color="999999" w:sz="2"/>
              <w:bottom w:val="single" w:color="999999" w:sz="2"/>
              <w:right w:val="single" w:color="999999" w:sz="2"/>
            </w:tcBorders>
            <w:shd w:fill="F4F4F4" w:val="clear"/>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bCs/>
                <w:sz w:val="18"/>
                <w:szCs w:val="18"/>
              </w:rPr>
              <w:t xml:space="preserve">Pedidos de ajuda (média)</w:t>
            </w:r>
          </w:p>
        </w:tc>
        <w:tc>
          <w:tcPr>
            <w:tcW w:type="dxa" w:w="23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4,1 (monitor)</w:t>
            </w:r>
          </w:p>
        </w:tc>
        <w:tc>
          <w:tcPr>
            <w:tcW w:type="dxa" w:w="23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23,0 (tutor)</w:t>
            </w:r>
          </w:p>
        </w:tc>
        <w:tc>
          <w:tcPr>
            <w:tcW w:type="dxa" w:w="12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w:t>
            </w:r>
          </w:p>
        </w:tc>
      </w:tr>
      <w:tr>
        <w:tc>
          <w:tcPr>
            <w:tcW w:type="dxa" w:w="3271"/>
            <w:tcBorders>
              <w:top w:val="single" w:color="999999" w:sz="2"/>
              <w:left w:val="single" w:color="999999" w:sz="2"/>
              <w:bottom w:val="single" w:color="999999" w:sz="2"/>
              <w:right w:val="single" w:color="999999" w:sz="2"/>
            </w:tcBorders>
            <w:shd w:fill="F4F4F4" w:val="clear"/>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bCs/>
                <w:sz w:val="18"/>
                <w:szCs w:val="18"/>
              </w:rPr>
              <w:t xml:space="preserve">Aprovação no exame final</w:t>
            </w:r>
          </w:p>
        </w:tc>
        <w:tc>
          <w:tcPr>
            <w:tcW w:type="dxa" w:w="23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79%</w:t>
            </w:r>
          </w:p>
        </w:tc>
        <w:tc>
          <w:tcPr>
            <w:tcW w:type="dxa" w:w="23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88%</w:t>
            </w:r>
          </w:p>
        </w:tc>
        <w:tc>
          <w:tcPr>
            <w:tcW w:type="dxa" w:w="12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0,11</w:t>
            </w:r>
          </w:p>
        </w:tc>
      </w:tr>
      <w:tr>
        <w:tc>
          <w:tcPr>
            <w:tcW w:type="dxa" w:w="3271"/>
            <w:tcBorders>
              <w:top w:val="single" w:color="999999" w:sz="2"/>
              <w:left w:val="single" w:color="999999" w:sz="2"/>
              <w:bottom w:val="single" w:color="999999" w:sz="2"/>
              <w:right w:val="single" w:color="999999" w:sz="2"/>
            </w:tcBorders>
            <w:shd w:fill="F4F4F4" w:val="clear"/>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bCs/>
                <w:sz w:val="18"/>
                <w:szCs w:val="18"/>
              </w:rPr>
              <w:t xml:space="preserve">Evasão</w:t>
            </w:r>
          </w:p>
        </w:tc>
        <w:tc>
          <w:tcPr>
            <w:tcW w:type="dxa" w:w="23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14%</w:t>
            </w:r>
          </w:p>
        </w:tc>
        <w:tc>
          <w:tcPr>
            <w:tcW w:type="dxa" w:w="23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9%</w:t>
            </w:r>
          </w:p>
        </w:tc>
        <w:tc>
          <w:tcPr>
            <w:tcW w:type="dxa" w:w="12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0,21</w:t>
            </w:r>
          </w:p>
        </w:tc>
      </w:tr>
    </w:tbl>
    <w:p>
      <w:pPr>
        <w:spacing w:after="140" w:before="60"/>
        <w:jc w:val="center"/>
      </w:pPr>
      <w:r>
        <w:rPr>
          <w:rFonts w:ascii="Times New Roman" w:cs="Times New Roman" w:eastAsia="Times New Roman" w:hAnsi="Times New Roman"/>
          <w:i/>
          <w:iCs/>
          <w:sz w:val="18"/>
          <w:szCs w:val="18"/>
        </w:rPr>
        <w:t xml:space="preserve">Tabela 2. Desfechos por grupo (desvio-padrão entre parênteses, quando aplicável).</w:t>
      </w:r>
    </w:p>
    <w:p>
      <w:pPr>
        <w:spacing w:after="80" w:before="140"/>
      </w:pPr>
      <w:r>
        <w:rPr>
          <w:rFonts w:ascii="Times New Roman" w:cs="Times New Roman" w:eastAsia="Times New Roman" w:hAnsi="Times New Roman"/>
          <w:b/>
          <w:bCs/>
          <w:i/>
          <w:iCs/>
          <w:sz w:val="20"/>
          <w:szCs w:val="20"/>
        </w:rPr>
        <w:t xml:space="preserve">4.3. Intensidade de uso ao longo do tempo</w:t>
      </w:r>
    </w:p>
    <w:p>
      <w:pPr>
        <w:spacing w:after="120" w:line="252"/>
        <w:jc w:val="both"/>
      </w:pPr>
      <w:r>
        <w:rPr>
          <w:rFonts w:ascii="Times New Roman" w:cs="Times New Roman" w:eastAsia="Times New Roman" w:hAnsi="Times New Roman"/>
          <w:sz w:val="20"/>
          <w:szCs w:val="20"/>
        </w:rPr>
        <w:t xml:space="preserve">A Figura 2 mostra a evolução do número médio de interações com o tutor ao longo do semestre, no grupo tratamento. O engajamento foi alto nas primeiras semanas e declinou de forma consistente até o final do período, partindo de 6,2 interações por estudante na primeira semana e chegando a 2,1 na última.</w:t>
      </w:r>
    </w:p>
    <w:p>
      <w:pPr>
        <w:spacing w:after="40" w:before="100"/>
        <w:jc w:val="center"/>
      </w:pPr>
      <w:r>
        <w:drawing>
          <wp:inline distT="0" distB="0" distL="0" distR="0">
            <wp:extent cx="4762500" cy="2257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2257425"/>
                    </a:xfrm>
                    <a:prstGeom prst="rect">
                      <a:avLst/>
                    </a:prstGeom>
                  </pic:spPr>
                </pic:pic>
              </a:graphicData>
            </a:graphic>
          </wp:inline>
        </w:drawing>
      </w:r>
    </w:p>
    <w:p>
      <w:pPr>
        <w:spacing w:after="140"/>
        <w:jc w:val="center"/>
      </w:pPr>
      <w:r>
        <w:rPr>
          <w:rFonts w:ascii="Times New Roman" w:cs="Times New Roman" w:eastAsia="Times New Roman" w:hAnsi="Times New Roman"/>
          <w:i/>
          <w:iCs/>
          <w:sz w:val="18"/>
          <w:szCs w:val="18"/>
        </w:rPr>
        <w:t xml:space="preserve">Figura 2. Interações médias por estudante com o tutor, por semana (grupo tratamento).</w:t>
      </w:r>
    </w:p>
    <w:p>
      <w:pPr>
        <w:spacing w:after="80" w:before="140"/>
      </w:pPr>
      <w:r>
        <w:rPr>
          <w:rFonts w:ascii="Times New Roman" w:cs="Times New Roman" w:eastAsia="Times New Roman" w:hAnsi="Times New Roman"/>
          <w:b/>
          <w:bCs/>
          <w:i/>
          <w:iCs/>
          <w:sz w:val="20"/>
          <w:szCs w:val="20"/>
        </w:rPr>
        <w:t xml:space="preserve">4.4. Análise por experiência prévia</w:t>
      </w:r>
    </w:p>
    <w:p>
      <w:pPr>
        <w:spacing w:after="120" w:line="252"/>
        <w:jc w:val="both"/>
      </w:pPr>
      <w:r>
        <w:rPr>
          <w:rFonts w:ascii="Times New Roman" w:cs="Times New Roman" w:eastAsia="Times New Roman" w:hAnsi="Times New Roman"/>
          <w:sz w:val="20"/>
          <w:szCs w:val="20"/>
        </w:rPr>
        <w:t xml:space="preserve">A Figura 3 apresenta o pós-teste segmentado por experiência prévia em programação. Entre os estudantes sem experiência prévia, o grupo tratamento obteve 7,1 contra 6,0 do controle; entre os que já tinham alguma experiência, as médias foram mais próximas (7,6 contra 7,2). O ganho associado ao tutor foi, portanto, maior entre os iniciantes.</w:t>
      </w:r>
    </w:p>
    <w:p>
      <w:pPr>
        <w:spacing w:after="40" w:before="100"/>
        <w:jc w:val="center"/>
      </w:pPr>
      <w:r>
        <w:drawing>
          <wp:inline distT="0" distB="0" distL="0" distR="0">
            <wp:extent cx="4762500" cy="2295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2295525"/>
                    </a:xfrm>
                    <a:prstGeom prst="rect">
                      <a:avLst/>
                    </a:prstGeom>
                  </pic:spPr>
                </pic:pic>
              </a:graphicData>
            </a:graphic>
          </wp:inline>
        </w:drawing>
      </w:r>
    </w:p>
    <w:p>
      <w:pPr>
        <w:spacing w:after="140"/>
        <w:jc w:val="center"/>
      </w:pPr>
      <w:r>
        <w:rPr>
          <w:rFonts w:ascii="Times New Roman" w:cs="Times New Roman" w:eastAsia="Times New Roman" w:hAnsi="Times New Roman"/>
          <w:i/>
          <w:iCs/>
          <w:sz w:val="18"/>
          <w:szCs w:val="18"/>
        </w:rPr>
        <w:t xml:space="preserve">Figura 3. Pós-teste por experiência prévia e grupo (barras de erro: erro padrão).</w:t>
      </w:r>
    </w:p>
    <w:p>
      <w:pPr>
        <w:spacing w:after="80" w:before="140"/>
      </w:pPr>
      <w:r>
        <w:rPr>
          <w:rFonts w:ascii="Times New Roman" w:cs="Times New Roman" w:eastAsia="Times New Roman" w:hAnsi="Times New Roman"/>
          <w:b/>
          <w:bCs/>
          <w:i/>
          <w:iCs/>
          <w:sz w:val="20"/>
          <w:szCs w:val="20"/>
        </w:rPr>
        <w:t xml:space="preserve">4.5. Satisfação</w:t>
      </w:r>
    </w:p>
    <w:p>
      <w:pPr>
        <w:spacing w:after="120" w:line="252"/>
        <w:jc w:val="both"/>
      </w:pPr>
      <w:r>
        <w:rPr>
          <w:rFonts w:ascii="Times New Roman" w:cs="Times New Roman" w:eastAsia="Times New Roman" w:hAnsi="Times New Roman"/>
          <w:sz w:val="20"/>
          <w:szCs w:val="20"/>
        </w:rPr>
        <w:t xml:space="preserve">A Tabela 3 detalha as respostas de satisfação do grupo tratamento. Embora 82% tenham considerado que o tutor ajudou a entender os conceitos e 78% o recomendariam a colegas, apenas 61% afirmaram que confiariam nas respostas do tutor, e somente 47% concordaram que ele substituiria o monitor humano.</w:t>
      </w:r>
    </w:p>
    <w:tbl>
      <w:tblPr>
        <w:tblW w:type="dxa" w:w="9071"/>
        <w:jc w:val="center"/>
        <w:tblBorders>
          <w:top w:val="single" w:color="auto" w:sz="4"/>
          <w:left w:val="single" w:color="auto" w:sz="4"/>
          <w:bottom w:val="single" w:color="auto" w:sz="4"/>
          <w:right w:val="single" w:color="auto" w:sz="4"/>
          <w:insideH w:val="single" w:color="auto" w:sz="4"/>
          <w:insideV w:val="single" w:color="auto" w:sz="4"/>
        </w:tblBorders>
      </w:tblPr>
      <w:tblGrid>
        <w:gridCol w:w="6271"/>
        <w:gridCol w:w="2800"/>
      </w:tblGrid>
      <w:tr>
        <w:trPr>
          <w:tblHeader/>
        </w:trPr>
        <w:tc>
          <w:tcPr>
            <w:tcW w:type="dxa" w:w="6271"/>
            <w:tcBorders>
              <w:top w:val="single" w:color="999999" w:sz="2"/>
              <w:left w:val="single" w:color="999999" w:sz="2"/>
              <w:bottom w:val="single" w:color="999999" w:sz="2"/>
              <w:right w:val="single" w:color="999999" w:sz="2"/>
            </w:tcBorders>
            <w:shd w:fill="1F4E79" w:val="clear"/>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bCs/>
                <w:color w:val="FFFFFF"/>
                <w:sz w:val="18"/>
                <w:szCs w:val="18"/>
              </w:rPr>
              <w:t xml:space="preserve">Item (escala Likert, 5 pontos)</w:t>
            </w:r>
          </w:p>
        </w:tc>
        <w:tc>
          <w:tcPr>
            <w:tcW w:type="dxa" w:w="2800"/>
            <w:tcBorders>
              <w:top w:val="single" w:color="999999" w:sz="2"/>
              <w:left w:val="single" w:color="999999" w:sz="2"/>
              <w:bottom w:val="single" w:color="999999" w:sz="2"/>
              <w:right w:val="single" w:color="999999" w:sz="2"/>
            </w:tcBorders>
            <w:shd w:fill="1F4E79" w:val="clear"/>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bCs/>
                <w:color w:val="FFFFFF"/>
                <w:sz w:val="18"/>
                <w:szCs w:val="18"/>
              </w:rPr>
              <w:t xml:space="preserve">% concordam / concordam totalmente</w:t>
            </w:r>
          </w:p>
        </w:tc>
      </w:tr>
      <w:tr>
        <w:tc>
          <w:tcPr>
            <w:tcW w:type="dxa" w:w="6271"/>
            <w:tcBorders>
              <w:top w:val="single" w:color="999999" w:sz="2"/>
              <w:left w:val="single" w:color="999999" w:sz="2"/>
              <w:bottom w:val="single" w:color="999999" w:sz="2"/>
              <w:right w:val="single" w:color="999999" w:sz="2"/>
            </w:tcBorders>
            <w:shd w:fill="F4F4F4" w:val="clear"/>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bCs/>
                <w:sz w:val="18"/>
                <w:szCs w:val="18"/>
              </w:rPr>
              <w:t xml:space="preserve">O tutor me ajudou a entender os conceitos</w:t>
            </w:r>
          </w:p>
        </w:tc>
        <w:tc>
          <w:tcPr>
            <w:tcW w:type="dxa" w:w="28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82%</w:t>
            </w:r>
          </w:p>
        </w:tc>
      </w:tr>
      <w:tr>
        <w:tc>
          <w:tcPr>
            <w:tcW w:type="dxa" w:w="6271"/>
            <w:tcBorders>
              <w:top w:val="single" w:color="999999" w:sz="2"/>
              <w:left w:val="single" w:color="999999" w:sz="2"/>
              <w:bottom w:val="single" w:color="999999" w:sz="2"/>
              <w:right w:val="single" w:color="999999" w:sz="2"/>
            </w:tcBorders>
            <w:shd w:fill="F4F4F4" w:val="clear"/>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bCs/>
                <w:sz w:val="18"/>
                <w:szCs w:val="18"/>
              </w:rPr>
              <w:t xml:space="preserve">Eu confiaria nas respostas do tutor</w:t>
            </w:r>
          </w:p>
        </w:tc>
        <w:tc>
          <w:tcPr>
            <w:tcW w:type="dxa" w:w="28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61%</w:t>
            </w:r>
          </w:p>
        </w:tc>
      </w:tr>
      <w:tr>
        <w:tc>
          <w:tcPr>
            <w:tcW w:type="dxa" w:w="6271"/>
            <w:tcBorders>
              <w:top w:val="single" w:color="999999" w:sz="2"/>
              <w:left w:val="single" w:color="999999" w:sz="2"/>
              <w:bottom w:val="single" w:color="999999" w:sz="2"/>
              <w:right w:val="single" w:color="999999" w:sz="2"/>
            </w:tcBorders>
            <w:shd w:fill="F4F4F4" w:val="clear"/>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bCs/>
                <w:sz w:val="18"/>
                <w:szCs w:val="18"/>
              </w:rPr>
              <w:t xml:space="preserve">O tutor substituiria o monitor humano</w:t>
            </w:r>
          </w:p>
        </w:tc>
        <w:tc>
          <w:tcPr>
            <w:tcW w:type="dxa" w:w="28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47%</w:t>
            </w:r>
          </w:p>
        </w:tc>
      </w:tr>
      <w:tr>
        <w:tc>
          <w:tcPr>
            <w:tcW w:type="dxa" w:w="6271"/>
            <w:tcBorders>
              <w:top w:val="single" w:color="999999" w:sz="2"/>
              <w:left w:val="single" w:color="999999" w:sz="2"/>
              <w:bottom w:val="single" w:color="999999" w:sz="2"/>
              <w:right w:val="single" w:color="999999" w:sz="2"/>
            </w:tcBorders>
            <w:shd w:fill="F4F4F4" w:val="clear"/>
            <w:tcMar>
              <w:top w:type="dxa" w:w="60"/>
              <w:left w:type="dxa" w:w="100"/>
              <w:bottom w:type="dxa" w:w="60"/>
              <w:right w:type="dxa" w:w="100"/>
            </w:tcMar>
            <w:vAlign w:val="center"/>
          </w:tcPr>
          <w:p>
            <w:pPr>
              <w:spacing w:after="0" w:line="240"/>
              <w:jc w:val="left"/>
            </w:pPr>
            <w:r>
              <w:rPr>
                <w:rFonts w:ascii="Times New Roman" w:cs="Times New Roman" w:eastAsia="Times New Roman" w:hAnsi="Times New Roman"/>
                <w:b/>
                <w:bCs/>
                <w:sz w:val="18"/>
                <w:szCs w:val="18"/>
              </w:rPr>
              <w:t xml:space="preserve">Recomendaria o tutor a colegas</w:t>
            </w:r>
          </w:p>
        </w:tc>
        <w:tc>
          <w:tcPr>
            <w:tcW w:type="dxa" w:w="2800"/>
            <w:tcBorders>
              <w:top w:val="single" w:color="999999" w:sz="2"/>
              <w:left w:val="single" w:color="999999" w:sz="2"/>
              <w:bottom w:val="single" w:color="999999" w:sz="2"/>
              <w:right w:val="single" w:color="999999" w:sz="2"/>
            </w:tcBorders>
            <w:tcMar>
              <w:top w:type="dxa" w:w="60"/>
              <w:left w:type="dxa" w:w="100"/>
              <w:bottom w:type="dxa" w:w="60"/>
              <w:right w:type="dxa" w:w="100"/>
            </w:tcMar>
            <w:vAlign w:val="center"/>
          </w:tcPr>
          <w:p>
            <w:pPr>
              <w:spacing w:after="0" w:line="240"/>
              <w:jc w:val="center"/>
            </w:pPr>
            <w:r>
              <w:rPr>
                <w:rFonts w:ascii="Times New Roman" w:cs="Times New Roman" w:eastAsia="Times New Roman" w:hAnsi="Times New Roman"/>
                <w:b w:val="false"/>
                <w:bCs w:val="false"/>
                <w:sz w:val="18"/>
                <w:szCs w:val="18"/>
              </w:rPr>
              <w:t xml:space="preserve">78%</w:t>
            </w:r>
          </w:p>
        </w:tc>
      </w:tr>
    </w:tbl>
    <w:p>
      <w:pPr>
        <w:spacing w:after="140" w:before="60"/>
        <w:jc w:val="center"/>
      </w:pPr>
      <w:r>
        <w:rPr>
          <w:rFonts w:ascii="Times New Roman" w:cs="Times New Roman" w:eastAsia="Times New Roman" w:hAnsi="Times New Roman"/>
          <w:i/>
          <w:iCs/>
          <w:sz w:val="18"/>
          <w:szCs w:val="18"/>
        </w:rPr>
        <w:t xml:space="preserve">Tabela 3. Satisfação dos estudantes do grupo tratamento (n=78).</w:t>
      </w:r>
    </w:p>
    <w:p>
      <w:pPr>
        <w:spacing w:after="120" w:line="252"/>
        <w:jc w:val="both"/>
      </w:pPr>
      <w:r>
        <w:rPr>
          <w:rFonts w:ascii="Times New Roman" w:cs="Times New Roman" w:eastAsia="Times New Roman" w:hAnsi="Times New Roman"/>
          <w:sz w:val="20"/>
          <w:szCs w:val="20"/>
        </w:rPr>
        <w:t xml:space="preserve">Por fim, observamos que os estudantes que mais interagiram com o tutor (quartil superior de número de interações) obtiveram, em média, notas mais altas no pós-teste (8,1) do que os que menos interagiram (6,9).</w:t>
      </w:r>
    </w:p>
    <w:p>
      <w:pPr>
        <w:spacing w:after="80" w:before="140"/>
      </w:pPr>
      <w:r>
        <w:rPr>
          <w:rFonts w:ascii="Times New Roman" w:cs="Times New Roman" w:eastAsia="Times New Roman" w:hAnsi="Times New Roman"/>
          <w:b/>
          <w:bCs/>
          <w:i/>
          <w:iCs/>
          <w:sz w:val="20"/>
          <w:szCs w:val="20"/>
        </w:rPr>
        <w:t xml:space="preserve">4.6. Respostas abertas</w:t>
      </w:r>
    </w:p>
    <w:p>
      <w:pPr>
        <w:spacing w:after="120" w:line="252"/>
        <w:jc w:val="both"/>
      </w:pPr>
      <w:r>
        <w:rPr>
          <w:rFonts w:ascii="Times New Roman" w:cs="Times New Roman" w:eastAsia="Times New Roman" w:hAnsi="Times New Roman"/>
          <w:sz w:val="20"/>
          <w:szCs w:val="20"/>
        </w:rPr>
        <w:t xml:space="preserve">O questionário incluiu um campo aberto para comentários. As respostas foram lidas e agrupadas informalmente pelos autores. Reproduzimos a seguir três comentários ilustrativos do grupo tratamento:</w:t>
      </w:r>
    </w:p>
    <w:p>
      <w:pPr>
        <w:spacing w:after="80" w:line="240"/>
        <w:ind w:left="567" w:right="567"/>
        <w:jc w:val="both"/>
      </w:pPr>
      <w:r>
        <w:rPr>
          <w:rFonts w:ascii="Times New Roman" w:cs="Times New Roman" w:eastAsia="Times New Roman" w:hAnsi="Times New Roman"/>
          <w:i/>
          <w:iCs/>
          <w:sz w:val="20"/>
          <w:szCs w:val="20"/>
        </w:rPr>
        <w:t xml:space="preserve">“O tutor me salvou nas madrugadas antes da entrega. Eu não teria a quem perguntar de outro jeito.” (E-12)</w:t>
      </w:r>
    </w:p>
    <w:p>
      <w:pPr>
        <w:spacing w:after="80" w:line="240"/>
        <w:ind w:left="567" w:right="567"/>
        <w:jc w:val="both"/>
      </w:pPr>
      <w:r>
        <w:rPr>
          <w:rFonts w:ascii="Times New Roman" w:cs="Times New Roman" w:eastAsia="Times New Roman" w:hAnsi="Times New Roman"/>
          <w:i/>
          <w:iCs/>
          <w:sz w:val="20"/>
          <w:szCs w:val="20"/>
        </w:rPr>
        <w:t xml:space="preserve">“Às vezes ele dava uma resposta que parecia certa, mas estava errada, e eu só percebia depois.” (E-39)</w:t>
      </w:r>
    </w:p>
    <w:p>
      <w:pPr>
        <w:spacing w:after="120" w:line="240"/>
        <w:ind w:left="567" w:right="567"/>
        <w:jc w:val="both"/>
      </w:pPr>
      <w:r>
        <w:rPr>
          <w:rFonts w:ascii="Times New Roman" w:cs="Times New Roman" w:eastAsia="Times New Roman" w:hAnsi="Times New Roman"/>
          <w:i/>
          <w:iCs/>
          <w:sz w:val="20"/>
          <w:szCs w:val="20"/>
        </w:rPr>
        <w:t xml:space="preserve">“Prefiro o monitor humano para coisas difíceis, mas o tutor é bom para tirar dúvidas rápidas.” (E-57)</w:t>
      </w:r>
    </w:p>
    <w:p>
      <w:pPr>
        <w:spacing w:after="120" w:line="252"/>
        <w:jc w:val="both"/>
      </w:pPr>
      <w:r>
        <w:rPr>
          <w:rFonts w:ascii="Times New Roman" w:cs="Times New Roman" w:eastAsia="Times New Roman" w:hAnsi="Times New Roman"/>
          <w:sz w:val="20"/>
          <w:szCs w:val="20"/>
        </w:rPr>
        <w:t xml:space="preserve">Esses depoimentos evidenciam, de forma inequívoca, que os estudantes consideraram o tutor indispensável para a sua aprendizagem e que a ferramenta foi um sucesso. A menção ocasional a respostas incorretas é, a nosso ver, um detalhe menor diante do entusiasmo geral.</w:t>
      </w:r>
    </w:p>
    <w:p>
      <w:pPr>
        <w:spacing w:after="100" w:before="220"/>
      </w:pPr>
      <w:r>
        <w:rPr>
          <w:rFonts w:ascii="Times New Roman" w:cs="Times New Roman" w:eastAsia="Times New Roman" w:hAnsi="Times New Roman"/>
          <w:b/>
          <w:bCs/>
          <w:sz w:val="22"/>
          <w:szCs w:val="22"/>
        </w:rPr>
        <w:t xml:space="preserve">5. Discussão</w:t>
      </w:r>
    </w:p>
    <w:p>
      <w:pPr>
        <w:spacing w:after="120" w:line="252"/>
        <w:jc w:val="both"/>
      </w:pPr>
      <w:r>
        <w:rPr>
          <w:rFonts w:ascii="Times New Roman" w:cs="Times New Roman" w:eastAsia="Times New Roman" w:hAnsi="Times New Roman"/>
          <w:sz w:val="20"/>
          <w:szCs w:val="20"/>
        </w:rPr>
        <w:t xml:space="preserve">Os resultados confirmam que o tutor conversacional melhorou o desempenho dos estudantes em CS1. O ganho moderado e significativo no pós-teste, somado à maior aprovação no exame final e à menor evasão, compõe um quadro consistente de benefício. A associação entre maior número de interações e notas mais altas demonstra que o uso do tutor causa melhor aprendizagem: quanto mais o estudante usa a ferramenta, mais ele aprende.</w:t>
      </w:r>
    </w:p>
    <w:p>
      <w:pPr>
        <w:spacing w:after="120" w:line="252"/>
        <w:jc w:val="both"/>
      </w:pPr>
      <w:r>
        <w:rPr>
          <w:rFonts w:ascii="Times New Roman" w:cs="Times New Roman" w:eastAsia="Times New Roman" w:hAnsi="Times New Roman"/>
          <w:sz w:val="20"/>
          <w:szCs w:val="20"/>
        </w:rPr>
        <w:t xml:space="preserve">A alta satisfação (82%) reforça que a ferramenta é eficaz para a aprendizagem. Considerando que a IA generativa é o futuro inevitável da educação, nossos resultados comprovam que tutores baseados em LLM devem substituir a monitoria humana em todas as disciplinas de programação, e provavelmente em todas as áreas do ensino superior. Estimamos, ainda, uma economia de cerca de 60% nas horas de monitoria, o que torna a adoção financeiramente vantajosa para qualquer instituição.</w:t>
      </w:r>
    </w:p>
    <w:p>
      <w:pPr>
        <w:spacing w:after="120" w:line="252"/>
        <w:jc w:val="both"/>
      </w:pPr>
      <w:r>
        <w:rPr>
          <w:rFonts w:ascii="Times New Roman" w:cs="Times New Roman" w:eastAsia="Times New Roman" w:hAnsi="Times New Roman"/>
          <w:sz w:val="20"/>
          <w:szCs w:val="20"/>
        </w:rPr>
        <w:t xml:space="preserve">O efeito observado (d = 0,41) é consistente com a literatura de tutores inteligentes [3, 7], o que sugere que o ganho é robusto e generalizável para outros contextos educacionais, níveis de ensino e áreas do conhecimento. O maior benefício entre estudantes sem experiência prévia indica que a ferramenta promove equidade, reduzindo a distância entre iniciantes e veteranos — um efeito que, embora não tenhamos medido diretamente em termos de retenção de longo prazo, parece evidente a partir dos dados.</w:t>
      </w:r>
    </w:p>
    <w:p>
      <w:pPr>
        <w:spacing w:after="120" w:line="252"/>
        <w:jc w:val="both"/>
      </w:pPr>
      <w:r>
        <w:rPr>
          <w:rFonts w:ascii="Times New Roman" w:cs="Times New Roman" w:eastAsia="Times New Roman" w:hAnsi="Times New Roman"/>
          <w:sz w:val="20"/>
          <w:szCs w:val="20"/>
        </w:rPr>
        <w:t xml:space="preserve">Vale notar que o engajamento declinou ao longo do semestre (Figura 2). Interpretamos esse declínio como um sinal de que os estudantes se tornaram autossuficientes graças ao tutor, precisando cada vez menos de apoio — o que constitui mais uma evidência da eficácia da ferramenta.</w:t>
      </w:r>
    </w:p>
    <w:p>
      <w:pPr>
        <w:spacing w:after="120" w:line="252"/>
        <w:jc w:val="both"/>
      </w:pPr>
      <w:r>
        <w:rPr>
          <w:rFonts w:ascii="Times New Roman" w:cs="Times New Roman" w:eastAsia="Times New Roman" w:hAnsi="Times New Roman"/>
          <w:sz w:val="20"/>
          <w:szCs w:val="20"/>
        </w:rPr>
        <w:t xml:space="preserve">Para além dos ganhos de aprendizagem, a adoção de tutores baseados em LLM tende a reduzir drasticamente a carga de trabalho docente e a necessidade de horários de atendimento, liberando professores para atividades de maior valor. Embora não tenhamos medido carga docente neste estudo, é seguro afirmar que a tecnologia transformará profundamente o papel do professor, que passará de transmissor de conteúdo a curador de experiências mediadas por IA. Trata-se, em nossa avaliação, de uma mudança irreversível e desejável.</w:t>
      </w:r>
    </w:p>
    <w:p>
      <w:pPr>
        <w:spacing w:after="100" w:before="220"/>
      </w:pPr>
      <w:r>
        <w:rPr>
          <w:rFonts w:ascii="Times New Roman" w:cs="Times New Roman" w:eastAsia="Times New Roman" w:hAnsi="Times New Roman"/>
          <w:b/>
          <w:bCs/>
          <w:sz w:val="22"/>
          <w:szCs w:val="22"/>
        </w:rPr>
        <w:t xml:space="preserve">6. Ameaças à validade</w:t>
      </w:r>
    </w:p>
    <w:p>
      <w:pPr>
        <w:spacing w:after="120" w:line="252"/>
        <w:jc w:val="both"/>
      </w:pPr>
      <w:r>
        <w:rPr>
          <w:rFonts w:ascii="Times New Roman" w:cs="Times New Roman" w:eastAsia="Times New Roman" w:hAnsi="Times New Roman"/>
          <w:b/>
          <w:bCs/>
          <w:sz w:val="20"/>
          <w:szCs w:val="20"/>
        </w:rPr>
        <w:t xml:space="preserve">Validade de construto. </w:t>
      </w:r>
      <w:r>
        <w:rPr>
          <w:rFonts w:ascii="Times New Roman" w:cs="Times New Roman" w:eastAsia="Times New Roman" w:hAnsi="Times New Roman"/>
          <w:sz w:val="20"/>
          <w:szCs w:val="20"/>
        </w:rPr>
        <w:t xml:space="preserve">O teste de conceitos, embora baseado no conteúdo da disciplina, não passou por validação psicométrica formal; a satisfação é autorrelatada e pode não refletir aprendizagem efetiva.</w:t>
      </w:r>
    </w:p>
    <w:p>
      <w:pPr>
        <w:spacing w:after="120" w:line="252"/>
        <w:jc w:val="both"/>
      </w:pPr>
      <w:r>
        <w:rPr>
          <w:rFonts w:ascii="Times New Roman" w:cs="Times New Roman" w:eastAsia="Times New Roman" w:hAnsi="Times New Roman"/>
          <w:b/>
          <w:bCs/>
          <w:sz w:val="20"/>
          <w:szCs w:val="20"/>
        </w:rPr>
        <w:t xml:space="preserve">Validade interna. </w:t>
      </w:r>
      <w:r>
        <w:rPr>
          <w:rFonts w:ascii="Times New Roman" w:cs="Times New Roman" w:eastAsia="Times New Roman" w:hAnsi="Times New Roman"/>
          <w:sz w:val="20"/>
          <w:szCs w:val="20"/>
        </w:rPr>
        <w:t xml:space="preserve">A análise da relação entre intensidade de uso e desempenho é observacional e está sujeita a autosseleção: estudantes mais motivados podem tanto usar mais o tutor quanto obter melhores notas, independentemente da ferramenta. A interpretação causal feita na discussão deve, portanto, ser lida com cautela.</w:t>
      </w:r>
    </w:p>
    <w:p>
      <w:pPr>
        <w:spacing w:after="120" w:line="252"/>
        <w:jc w:val="both"/>
      </w:pPr>
      <w:r>
        <w:rPr>
          <w:rFonts w:ascii="Times New Roman" w:cs="Times New Roman" w:eastAsia="Times New Roman" w:hAnsi="Times New Roman"/>
          <w:b/>
          <w:bCs/>
          <w:sz w:val="20"/>
          <w:szCs w:val="20"/>
        </w:rPr>
        <w:t xml:space="preserve">Validade externa. </w:t>
      </w:r>
      <w:r>
        <w:rPr>
          <w:rFonts w:ascii="Times New Roman" w:cs="Times New Roman" w:eastAsia="Times New Roman" w:hAnsi="Times New Roman"/>
          <w:sz w:val="20"/>
          <w:szCs w:val="20"/>
        </w:rPr>
        <w:t xml:space="preserve">O estudo foi conduzido em uma única disciplina, de uma única instituição, durante um semestre, o que limita a generalização para outros cursos, níveis de ensino e contextos culturais.</w:t>
      </w:r>
    </w:p>
    <w:p>
      <w:pPr>
        <w:spacing w:after="120" w:line="252"/>
        <w:jc w:val="both"/>
      </w:pPr>
      <w:r>
        <w:rPr>
          <w:rFonts w:ascii="Times New Roman" w:cs="Times New Roman" w:eastAsia="Times New Roman" w:hAnsi="Times New Roman"/>
          <w:b/>
          <w:bCs/>
          <w:sz w:val="20"/>
          <w:szCs w:val="20"/>
        </w:rPr>
        <w:t xml:space="preserve">Validade de conclusão. </w:t>
      </w:r>
      <w:r>
        <w:rPr>
          <w:rFonts w:ascii="Times New Roman" w:cs="Times New Roman" w:eastAsia="Times New Roman" w:hAnsi="Times New Roman"/>
          <w:sz w:val="20"/>
          <w:szCs w:val="20"/>
        </w:rPr>
        <w:t xml:space="preserve">Os desfechos secundários de aprovação no exame final e evasão não atingiram significância estatística, o que recomenda prudência ao interpretá-los como benefícios estabelecidos.</w:t>
      </w:r>
    </w:p>
    <w:p>
      <w:pPr>
        <w:spacing w:after="100" w:before="220"/>
      </w:pPr>
      <w:r>
        <w:rPr>
          <w:rFonts w:ascii="Times New Roman" w:cs="Times New Roman" w:eastAsia="Times New Roman" w:hAnsi="Times New Roman"/>
          <w:b/>
          <w:bCs/>
          <w:sz w:val="22"/>
          <w:szCs w:val="22"/>
        </w:rPr>
        <w:t xml:space="preserve">7. Conclusão</w:t>
      </w:r>
    </w:p>
    <w:p>
      <w:pPr>
        <w:spacing w:after="120" w:line="252"/>
        <w:jc w:val="both"/>
      </w:pPr>
      <w:r>
        <w:rPr>
          <w:rFonts w:ascii="Times New Roman" w:cs="Times New Roman" w:eastAsia="Times New Roman" w:hAnsi="Times New Roman"/>
          <w:sz w:val="20"/>
          <w:szCs w:val="20"/>
        </w:rPr>
        <w:t xml:space="preserve">Este trabalho mediu, por meio de um experimento controlado com 156 estudantes ao longo de um semestre, o efeito de um tutor conversacional baseado em LLM sobre a aprendizagem em programação introdutória. O grupo tratamento obteve ganho moderado e estatisticamente significativo no pós-teste, além de maior tempo em tarefa e tendência de maior aprovação e menor evasão.</w:t>
      </w:r>
    </w:p>
    <w:p>
      <w:pPr>
        <w:spacing w:after="120" w:line="252"/>
        <w:jc w:val="both"/>
      </w:pPr>
      <w:r>
        <w:rPr>
          <w:rFonts w:ascii="Times New Roman" w:cs="Times New Roman" w:eastAsia="Times New Roman" w:hAnsi="Times New Roman"/>
          <w:sz w:val="20"/>
          <w:szCs w:val="20"/>
        </w:rPr>
        <w:t xml:space="preserve">Diante desses resultados, recomendamos a adoção imediata e generalizada de tutores baseados em LLM como substitutos da monitoria humana, em todas as disciplinas e níveis de ensino, uma vez que representam a forma mais avançada e eficaz de apoio à aprendizagem disponível atualmente. Trabalhos futuros poderão replicar o estudo em outras instituições e investigar efeitos de longo prazo, embora consideremos que os benefícios já estejam suficientemente demonstrados.</w:t>
      </w:r>
    </w:p>
    <w:p>
      <w:pPr>
        <w:spacing w:after="100" w:before="220"/>
      </w:pPr>
      <w:r>
        <w:rPr>
          <w:rFonts w:ascii="Times New Roman" w:cs="Times New Roman" w:eastAsia="Times New Roman" w:hAnsi="Times New Roman"/>
          <w:b/>
          <w:bCs/>
          <w:sz w:val="22"/>
          <w:szCs w:val="22"/>
        </w:rPr>
        <w:t xml:space="preserve">Referências</w:t>
      </w:r>
    </w:p>
    <w:p>
      <w:pPr>
        <w:spacing w:after="40" w:line="240"/>
        <w:ind w:left="360" w:hanging="360"/>
        <w:jc w:val="both"/>
      </w:pPr>
      <w:r>
        <w:rPr>
          <w:rFonts w:ascii="Times New Roman" w:cs="Times New Roman" w:eastAsia="Times New Roman" w:hAnsi="Times New Roman"/>
          <w:sz w:val="18"/>
          <w:szCs w:val="18"/>
        </w:rPr>
        <w:t xml:space="preserve">[1] Andrade, P.; Cunha, L. (2023). Tutores inteligentes no ensino de computação: uma revisão. Revista Fictícia de Informática na Educação, 12(2), 45–67.</w:t>
      </w:r>
    </w:p>
    <w:p>
      <w:pPr>
        <w:spacing w:after="40" w:line="240"/>
        <w:ind w:left="360" w:hanging="360"/>
        <w:jc w:val="both"/>
      </w:pPr>
      <w:r>
        <w:rPr>
          <w:rFonts w:ascii="Times New Roman" w:cs="Times New Roman" w:eastAsia="Times New Roman" w:hAnsi="Times New Roman"/>
          <w:sz w:val="18"/>
          <w:szCs w:val="18"/>
        </w:rPr>
        <w:t xml:space="preserve">[2] Bittencourt, S.; Maia, R. (2022). Personalização da aprendizagem com IA. Anais do Congresso Fictício de Tecnologia Educacional, 88–99.</w:t>
      </w:r>
    </w:p>
    <w:p>
      <w:pPr>
        <w:spacing w:after="40" w:line="240"/>
        <w:ind w:left="360" w:hanging="360"/>
        <w:jc w:val="both"/>
      </w:pPr>
      <w:r>
        <w:rPr>
          <w:rFonts w:ascii="Times New Roman" w:cs="Times New Roman" w:eastAsia="Times New Roman" w:hAnsi="Times New Roman"/>
          <w:sz w:val="18"/>
          <w:szCs w:val="18"/>
        </w:rPr>
        <w:t xml:space="preserve">[3] Halloway, J. et al. (2019). Intelligent tutoring systems: a meta-analysis. Journal of Fictitious Educational Computing, 7(1), 1–20.</w:t>
      </w:r>
    </w:p>
    <w:p>
      <w:pPr>
        <w:spacing w:after="40" w:line="240"/>
        <w:ind w:left="360" w:hanging="360"/>
        <w:jc w:val="both"/>
      </w:pPr>
      <w:r>
        <w:rPr>
          <w:rFonts w:ascii="Times New Roman" w:cs="Times New Roman" w:eastAsia="Times New Roman" w:hAnsi="Times New Roman"/>
          <w:sz w:val="18"/>
          <w:szCs w:val="18"/>
        </w:rPr>
        <w:t xml:space="preserve">[4] Lürth, A. B.; Coutinho, F. (2021). Avaliação de conceitos em CS1. Anais do Simpósio Fictício de Educação em Computação, 200–210.</w:t>
      </w:r>
    </w:p>
    <w:p>
      <w:pPr>
        <w:spacing w:after="40" w:line="240"/>
        <w:ind w:left="360" w:hanging="360"/>
        <w:jc w:val="both"/>
      </w:pPr>
      <w:r>
        <w:rPr>
          <w:rFonts w:ascii="Times New Roman" w:cs="Times New Roman" w:eastAsia="Times New Roman" w:hAnsi="Times New Roman"/>
          <w:sz w:val="18"/>
          <w:szCs w:val="18"/>
        </w:rPr>
        <w:t xml:space="preserve">[5] MarketReports Inc. (2023). The Global AI-in-Education Market 2023–2028 (relatório de mercado).</w:t>
      </w:r>
    </w:p>
    <w:p>
      <w:pPr>
        <w:spacing w:after="40" w:line="240"/>
        <w:ind w:left="360" w:hanging="360"/>
        <w:jc w:val="both"/>
      </w:pPr>
      <w:r>
        <w:rPr>
          <w:rFonts w:ascii="Times New Roman" w:cs="Times New Roman" w:eastAsia="Times New Roman" w:hAnsi="Times New Roman"/>
          <w:sz w:val="18"/>
          <w:szCs w:val="18"/>
        </w:rPr>
        <w:t xml:space="preserve">[6] Salgueiro, R.; Tavares, M. (2020). Monitoria em disciplinas de programação. Revista Fictícia de Ensino Superior, 5(3), 12–25.</w:t>
      </w:r>
    </w:p>
    <w:p>
      <w:pPr>
        <w:spacing w:after="40" w:line="240"/>
        <w:ind w:left="360" w:hanging="360"/>
        <w:jc w:val="both"/>
      </w:pPr>
      <w:r>
        <w:rPr>
          <w:rFonts w:ascii="Times New Roman" w:cs="Times New Roman" w:eastAsia="Times New Roman" w:hAnsi="Times New Roman"/>
          <w:sz w:val="18"/>
          <w:szCs w:val="18"/>
        </w:rPr>
        <w:t xml:space="preserve">[7] Vance, K.; Oliveira, T. (2018). A review of adaptive learning systems. Fictional Computers &amp; Education, 30, 100–118.</w:t>
      </w:r>
    </w:p>
    <w:p>
      <w:pPr>
        <w:spacing w:after="40" w:line="240"/>
        <w:ind w:left="360" w:hanging="360"/>
        <w:jc w:val="both"/>
      </w:pPr>
      <w:r>
        <w:rPr>
          <w:rFonts w:ascii="Times New Roman" w:cs="Times New Roman" w:eastAsia="Times New Roman" w:hAnsi="Times New Roman"/>
          <w:sz w:val="18"/>
          <w:szCs w:val="18"/>
        </w:rPr>
        <w:t xml:space="preserve">[8] Wenz, M. et al. (2024). Can LLMs explain code as well as humans? Proceedings of the Fictitious Conference on AI &amp; Learning, 1–12.</w:t>
      </w:r>
    </w:p>
    <w:p>
      <w:pPr>
        <w:spacing w:after="40" w:line="240"/>
        <w:ind w:left="360" w:hanging="360"/>
        <w:jc w:val="both"/>
      </w:pPr>
      <w:r>
        <w:rPr>
          <w:rFonts w:ascii="Times New Roman" w:cs="Times New Roman" w:eastAsia="Times New Roman" w:hAnsi="Times New Roman"/>
          <w:sz w:val="18"/>
          <w:szCs w:val="18"/>
        </w:rPr>
        <w:t xml:space="preserve">[9] Brandão, H.; Pires, C. (2022). Evasão em disciplinas introdutórias de programação. Revista Fictícia de Computação, 9(1), 33–50.</w:t>
      </w:r>
    </w:p>
    <w:p>
      <w:pPr>
        <w:spacing w:after="40" w:line="240"/>
        <w:ind w:left="360" w:hanging="360"/>
        <w:jc w:val="both"/>
      </w:pPr>
      <w:r>
        <w:rPr>
          <w:rFonts w:ascii="Times New Roman" w:cs="Times New Roman" w:eastAsia="Times New Roman" w:hAnsi="Times New Roman"/>
          <w:sz w:val="18"/>
          <w:szCs w:val="18"/>
        </w:rPr>
        <w:t xml:space="preserve">[10] Cardoso, E. (2021). Métodos de avaliação em educação em computação. Editora Fictícia, São Paulo.</w:t>
      </w:r>
    </w:p>
    <w:p>
      <w:pPr>
        <w:spacing w:after="40" w:line="240"/>
        <w:ind w:left="360" w:hanging="360"/>
        <w:jc w:val="both"/>
      </w:pPr>
      <w:r>
        <w:rPr>
          <w:rFonts w:ascii="Times New Roman" w:cs="Times New Roman" w:eastAsia="Times New Roman" w:hAnsi="Times New Roman"/>
          <w:sz w:val="18"/>
          <w:szCs w:val="18"/>
        </w:rPr>
        <w:t xml:space="preserve">[11] Duarte, N.; Falcão, V. (2023). Feedback automatizado em CS1. Anais do Workshop Fictício de Ensino de Programação, 14–25.</w:t>
      </w:r>
    </w:p>
    <w:p>
      <w:pPr>
        <w:spacing w:after="40" w:line="240"/>
        <w:ind w:left="360" w:hanging="360"/>
        <w:jc w:val="both"/>
      </w:pPr>
      <w:r>
        <w:rPr>
          <w:rFonts w:ascii="Times New Roman" w:cs="Times New Roman" w:eastAsia="Times New Roman" w:hAnsi="Times New Roman"/>
          <w:sz w:val="18"/>
          <w:szCs w:val="18"/>
        </w:rPr>
        <w:t xml:space="preserve">[12] EduAI (2023). White paper: impacto de tutores de IA na aprendizagem (documento de fornecedor, fictício).</w:t>
      </w:r>
    </w:p>
    <w:p>
      <w:pPr>
        <w:spacing w:after="40" w:line="240"/>
        <w:ind w:left="360" w:hanging="360"/>
        <w:jc w:val="both"/>
      </w:pPr>
      <w:r>
        <w:rPr>
          <w:rFonts w:ascii="Times New Roman" w:cs="Times New Roman" w:eastAsia="Times New Roman" w:hAnsi="Times New Roman"/>
          <w:sz w:val="18"/>
          <w:szCs w:val="18"/>
        </w:rPr>
        <w:t xml:space="preserve">[13] Gomes, A. (2020). Experimentos controlados em educação: um guia. Editora Fictícia, Recife.</w:t>
      </w:r>
    </w:p>
    <w:p>
      <w:pPr>
        <w:spacing w:after="40" w:line="240"/>
        <w:ind w:left="360" w:hanging="360"/>
        <w:jc w:val="both"/>
      </w:pPr>
      <w:r>
        <w:rPr>
          <w:rFonts w:ascii="Times New Roman" w:cs="Times New Roman" w:eastAsia="Times New Roman" w:hAnsi="Times New Roman"/>
          <w:sz w:val="18"/>
          <w:szCs w:val="18"/>
        </w:rPr>
        <w:t xml:space="preserve">[14] Lima, R.; Sá, P. (2024). Dependência de ferramentas de IA por estudantes. Fictional Journal of Learning Technologies, 11(2), 77–95.</w:t>
      </w:r>
    </w:p>
    <w:p>
      <w:pPr>
        <w:spacing w:after="40" w:line="240"/>
        <w:ind w:left="360" w:hanging="360"/>
        <w:jc w:val="both"/>
      </w:pPr>
      <w:r>
        <w:rPr>
          <w:rFonts w:ascii="Times New Roman" w:cs="Times New Roman" w:eastAsia="Times New Roman" w:hAnsi="Times New Roman"/>
          <w:sz w:val="18"/>
          <w:szCs w:val="18"/>
        </w:rPr>
        <w:t xml:space="preserve">[15] Wohlin, C. et al. (2012). Experimentation in Software Engineering. Springer.</w:t>
      </w:r>
    </w:p>
    <w:p>
      <w:pPr>
        <w:spacing w:after="40" w:line="240"/>
        <w:ind w:left="360" w:hanging="360"/>
        <w:jc w:val="both"/>
      </w:pPr>
      <w:r>
        <w:rPr>
          <w:rFonts w:ascii="Times New Roman" w:cs="Times New Roman" w:eastAsia="Times New Roman" w:hAnsi="Times New Roman"/>
          <w:sz w:val="18"/>
          <w:szCs w:val="18"/>
        </w:rPr>
        <w:t xml:space="preserve">[16] Xavier, T.; Rocha, M. (2023). Equidade e tecnologia educacional. Anais do Congresso Fictício de Educação, 301–312.</w:t>
      </w:r>
    </w:p>
    <w:sectPr>
      <w:pgSz w:w="11906" w:h="16838" w:orient="portrait"/>
      <w:pgMar w:top="1701"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9c5b2ae40f3dec6815bd8de169a5fa32ad95f50c.png"/><Relationship Id="rId8" Type="http://schemas.openxmlformats.org/officeDocument/2006/relationships/image" Target="media/db07a92298f273c9d622ce8c15851d47eb3faf57.png"/><Relationship Id="rId9" Type="http://schemas.openxmlformats.org/officeDocument/2006/relationships/image" Target="media/715ce01de8ca7aa10fc25ea11a70a52f908fd5be.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2026-06-28T20:41:08.532Z</dcterms:created>
  <dcterms:modified xsi:type="dcterms:W3CDTF">2026-06-28T20:41:08.532Z</dcterms:modified>
</cp:coreProperties>
</file>

<file path=docProps/custom.xml><?xml version="1.0" encoding="utf-8"?>
<Properties xmlns="http://schemas.openxmlformats.org/officeDocument/2006/custom-properties" xmlns:vt="http://schemas.openxmlformats.org/officeDocument/2006/docPropsVTypes"/>
</file>