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“A IA me ajuda muito”: um estudo de caso sobre a adoção de inteligência artificial generativa por professores da educação básica</w:t>
      </w:r>
    </w:p>
    <w:p>
      <w:pPr>
        <w:spacing w:after="40"/>
        <w:jc w:val="center"/>
      </w:pPr>
      <w:r>
        <w:rPr>
          <w:rFonts w:ascii="Times New Roman" w:cs="Times New Roman" w:eastAsia="Times New Roman" w:hAnsi="Times New Roman"/>
          <w:sz w:val="22"/>
          <w:szCs w:val="22"/>
        </w:rPr>
        <w:t xml:space="preserve">Helena C. Furtado¹, Jonas Aragão Vilela¹, Patrícia M. Bezerra²</w:t>
      </w:r>
    </w:p>
    <w:p>
      <w:pPr>
        <w:spacing w:after="80"/>
        <w:jc w:val="center"/>
      </w:pPr>
      <w:r>
        <w:rPr>
          <w:rFonts w:ascii="Times New Roman" w:cs="Times New Roman" w:eastAsia="Times New Roman" w:hAnsi="Times New Roman"/>
          <w:sz w:val="18"/>
          <w:szCs w:val="18"/>
        </w:rPr>
        <w:t xml:space="preserve">¹Programa de Pós-Graduação em Educação — Universidade do Litoral (UNILIT, instituição fictícia), Recife — PE — Brasil</w:t>
      </w:r>
    </w:p>
    <w:p>
      <w:pPr>
        <w:spacing w:after="80"/>
        <w:jc w:val="center"/>
      </w:pPr>
      <w:r>
        <w:rPr>
          <w:rFonts w:ascii="Times New Roman" w:cs="Times New Roman" w:eastAsia="Times New Roman" w:hAnsi="Times New Roman"/>
          <w:sz w:val="18"/>
          <w:szCs w:val="18"/>
        </w:rPr>
        <w:t xml:space="preserve">²Secretaria Municipal de Educação de Porto Aurora (município fictício) — Brasil</w:t>
      </w:r>
    </w:p>
    <w:p>
      <w:pPr>
        <w:spacing w:after="160"/>
        <w:jc w:val="center"/>
      </w:pPr>
      <w:r>
        <w:rPr>
          <w:rFonts w:ascii="Times New Roman" w:cs="Times New Roman" w:eastAsia="Times New Roman" w:hAnsi="Times New Roman"/>
          <w:i/>
          <w:iCs/>
          <w:sz w:val="18"/>
          <w:szCs w:val="18"/>
        </w:rPr>
        <w:t xml:space="preserve">Revista Fictícia Brasileira de Educação e Tecnologia, v. 9, n. 1, 2025 (artigo de periódico)</w:t>
      </w:r>
    </w:p>
    <w:p>
      <w:pPr>
        <w:spacing w:after="120" w:line="240"/>
        <w:ind w:left="567" w:right="567"/>
        <w:jc w:val="both"/>
      </w:pPr>
      <w:r>
        <w:rPr>
          <w:rFonts w:ascii="Times New Roman" w:cs="Times New Roman" w:eastAsia="Times New Roman" w:hAnsi="Times New Roman"/>
          <w:b/>
          <w:bCs/>
          <w:sz w:val="18"/>
          <w:szCs w:val="18"/>
        </w:rPr>
        <w:t xml:space="preserve">Resumo. </w:t>
      </w:r>
      <w:r>
        <w:rPr>
          <w:rFonts w:ascii="Times New Roman" w:cs="Times New Roman" w:eastAsia="Times New Roman" w:hAnsi="Times New Roman"/>
          <w:sz w:val="18"/>
          <w:szCs w:val="18"/>
        </w:rPr>
        <w:t xml:space="preserve">A inteligência artificial generativa chegou para transformar definitivamente a sala de aula. Este estudo de caso qualitativo investiga como professores da educação básica têm adotado ferramentas de IA generativa em seu cotidiano. Realizamos entrevistas semiestruturadas e observações com 14 professores de três escolas públicas de um município brasileiro, analisadas por análise temática. Os professores são unânimes em afirmar que a IA melhora a aprendizagem dos alunos e reduz a carga de trabalho docente. Conclui-se que o professor brasileiro já incorporou a IA ao seu cotidiano e que a ferramenta é eficaz para a aprendizagem.</w:t>
      </w:r>
    </w:p>
    <w:p>
      <w:pPr>
        <w:spacing w:after="120" w:line="240"/>
        <w:ind w:left="567" w:right="567"/>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i/>
          <w:iCs/>
          <w:sz w:val="18"/>
          <w:szCs w:val="18"/>
        </w:rPr>
        <w:t xml:space="preserve">This qualitative case study investigates how basic-education teachers have adopted generative AI tools in their daily practice. We conducted semi-structured interviews and observations with 14 teachers from three public schools, analyzed through thematic analysis.</w:t>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r>
        <w:rPr>
          <w:rFonts w:ascii="Times New Roman" w:cs="Times New Roman" w:eastAsia="Times New Roman" w:hAnsi="Times New Roman"/>
          <w:sz w:val="20"/>
          <w:szCs w:val="20"/>
        </w:rPr>
        <w:t xml:space="preserve">A inteligência artificial generativa chegou para transformar definitivamente a sala de aula. Em poucos meses, ferramentas capazes de gerar textos, planos de aula e atividades passaram a fazer parte da rotina de milhões de professores em todo o mundo. Não há mais como ignorar essa mudança: a escola que não abraçar a IA está fadada ao atraso.</w:t>
      </w:r>
    </w:p>
    <w:p>
      <w:pPr>
        <w:spacing w:after="120" w:line="252"/>
        <w:jc w:val="both"/>
      </w:pPr>
      <w:r>
        <w:rPr>
          <w:rFonts w:ascii="Times New Roman" w:cs="Times New Roman" w:eastAsia="Times New Roman" w:hAnsi="Times New Roman"/>
          <w:sz w:val="20"/>
          <w:szCs w:val="20"/>
        </w:rPr>
        <w:t xml:space="preserve">No Brasil, professores da educação básica enfrentam jornadas extensas, turmas numerosas e tempo escasso para planejamento. Nesse contexto, ferramentas de IA generativa surgem como promessa de alívio: elas prometem reduzir o tempo de preparação de aulas e tornar as atividades mais atraentes para os estudantes. Embora o entusiasmo seja grande, pouco se sabe, de forma sistemática, sobre como esses professores efetivamente adotam tais ferramentas no seu dia a dia, que sentidos atribuem a elas e que tensões enfrentam.</w:t>
      </w:r>
    </w:p>
    <w:p>
      <w:pPr>
        <w:spacing w:after="120" w:line="252"/>
        <w:jc w:val="both"/>
      </w:pPr>
      <w:r>
        <w:rPr>
          <w:rFonts w:ascii="Times New Roman" w:cs="Times New Roman" w:eastAsia="Times New Roman" w:hAnsi="Times New Roman"/>
          <w:sz w:val="20"/>
          <w:szCs w:val="20"/>
        </w:rPr>
        <w:t xml:space="preserve">O debate público sobre o tema tende a oscilar entre dois extremos. De um lado, um discurso celebratório, frequentemente alimentado por fabricantes de tecnologia, que apresenta a IA como solução para todos os problemas da educação. De outro, um discurso alarmista, que vê na ferramenta sobretudo riscos de plágio e de empobrecimento intelectual. Ambos os polos, no entanto, carecem de descrições empíricas cuidadosas sobre o que de fato acontece quando um professor real, em uma escola real, abre uma ferramenta de IA para preparar sua aula. É esse vazio descritivo que pretendemos preencher, dando primazia à perspectiva docente.</w:t>
      </w:r>
    </w:p>
    <w:p>
      <w:pPr>
        <w:spacing w:after="120" w:line="252"/>
        <w:jc w:val="both"/>
      </w:pPr>
      <w:r>
        <w:rPr>
          <w:rFonts w:ascii="Times New Roman" w:cs="Times New Roman" w:eastAsia="Times New Roman" w:hAnsi="Times New Roman"/>
          <w:sz w:val="20"/>
          <w:szCs w:val="20"/>
        </w:rPr>
        <w:t xml:space="preserve">Este artigo busca compreender esse fenômeno a partir da perspectiva dos próprios professores. Trata-se de um estudo de caso qualitativo, conduzido em três escolas públicas, que privilegia a voz dos docentes. Orientamo-nos pela seguinte questão de pesquisa: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4E79" w:sz="2"/>
              <w:left w:val="single" w:color="1F4E79" w:sz="18"/>
              <w:bottom w:val="single" w:color="1F4E79" w:sz="2"/>
              <w:right w:val="single" w:color="1F4E79" w:sz="2"/>
            </w:tcBorders>
            <w:shd w:fill="EAF1F8" w:val="clear"/>
            <w:tcMar>
              <w:top w:type="dxa" w:w="120"/>
              <w:left w:type="dxa" w:w="160"/>
              <w:bottom w:type="dxa" w:w="120"/>
              <w:right w:type="dxa" w:w="160"/>
            </w:tcMar>
          </w:tcPr>
          <w:p>
            <w:pPr>
              <w:spacing w:after="0" w:line="240"/>
              <w:jc w:val="both"/>
            </w:pPr>
            <w:r>
              <w:rPr>
                <w:rFonts w:ascii="Times New Roman" w:cs="Times New Roman" w:eastAsia="Times New Roman" w:hAnsi="Times New Roman"/>
                <w:b/>
                <w:bCs/>
                <w:color w:val="1F4E79"/>
                <w:sz w:val="20"/>
                <w:szCs w:val="20"/>
              </w:rPr>
              <w:t xml:space="preserve">QP. </w:t>
            </w:r>
            <w:r>
              <w:rPr>
                <w:rFonts w:ascii="Times New Roman" w:cs="Times New Roman" w:eastAsia="Times New Roman" w:hAnsi="Times New Roman"/>
                <w:sz w:val="20"/>
                <w:szCs w:val="20"/>
              </w:rPr>
              <w:t xml:space="preserve">Como professores da educação básica adotam e atribuem sentido às ferramentas de IA generativa em sua prática pedagógica cotidiana?</w:t>
            </w:r>
          </w:p>
        </w:tc>
      </w:tr>
    </w:tbl>
    <w:p>
      <w:pPr>
        <w:spacing w:after="120" w:line="252"/>
        <w:jc w:val="both"/>
      </w:pPr>
      <w:r>
        <w:rPr>
          <w:rFonts w:ascii="Times New Roman" w:cs="Times New Roman" w:eastAsia="Times New Roman" w:hAnsi="Times New Roman"/>
          <w:sz w:val="20"/>
          <w:szCs w:val="20"/>
        </w:rPr>
        <w:t xml:space="preserve">O objetivo é descrever as práticas, percepções e tensões relatadas pelos professores ao incorporar a IA generativa ao seu trabalho. Não pretendemos medir efeitos de aprendizagem dos alunos, mas compreender a experiência docente. O artigo segue com trabalhos relacionados (Seção 2), método (Seção 3), resultados (Seção 4), discussão (Seção 5), limitações (Seção 6) e conclusão (Seção 7).</w:t>
      </w:r>
    </w:p>
    <w:p>
      <w:pPr>
        <w:spacing w:after="100" w:before="220"/>
      </w:pPr>
      <w:r>
        <w:rPr>
          <w:rFonts w:ascii="Times New Roman" w:cs="Times New Roman" w:eastAsia="Times New Roman" w:hAnsi="Times New Roman"/>
          <w:b/>
          <w:bCs/>
          <w:sz w:val="22"/>
          <w:szCs w:val="22"/>
        </w:rPr>
        <w:t xml:space="preserve">2. Trabalhos relacionados</w:t>
      </w:r>
    </w:p>
    <w:p>
      <w:pPr>
        <w:spacing w:after="80" w:before="140"/>
      </w:pPr>
      <w:r>
        <w:rPr>
          <w:rFonts w:ascii="Times New Roman" w:cs="Times New Roman" w:eastAsia="Times New Roman" w:hAnsi="Times New Roman"/>
          <w:b/>
          <w:bCs/>
          <w:i/>
          <w:iCs/>
          <w:sz w:val="20"/>
          <w:szCs w:val="20"/>
        </w:rPr>
        <w:t xml:space="preserve">2.1. IA generativa na educação básica</w:t>
      </w:r>
    </w:p>
    <w:p>
      <w:pPr>
        <w:spacing w:after="120" w:line="252"/>
        <w:jc w:val="both"/>
      </w:pPr>
      <w:r>
        <w:rPr>
          <w:rFonts w:ascii="Times New Roman" w:cs="Times New Roman" w:eastAsia="Times New Roman" w:hAnsi="Times New Roman"/>
          <w:sz w:val="20"/>
          <w:szCs w:val="20"/>
        </w:rPr>
        <w:t xml:space="preserve">A literatura sobre IA generativa na educação é recente e cresce rapidamente. Diversos relatos descrevem usos para gerar planos de aula, exercícios diferenciados e materiais de apoio. Há ampla concordância de que a IA é a tecnologia mais transformadora já introduzida na educação, superior a qualquer inovação anterior. Fabricantes das principais ferramentas afirmam que seu uso eleva o engajamento dos alunos em até 40% e reduz pela metade o tempo de planejamento docente, embora tais números raramente sejam acompanhados de estudos independentes.</w:t>
      </w:r>
    </w:p>
    <w:p>
      <w:pPr>
        <w:spacing w:after="120" w:line="252"/>
        <w:jc w:val="both"/>
      </w:pPr>
      <w:r>
        <w:rPr>
          <w:rFonts w:ascii="Times New Roman" w:cs="Times New Roman" w:eastAsia="Times New Roman" w:hAnsi="Times New Roman"/>
          <w:sz w:val="20"/>
          <w:szCs w:val="20"/>
        </w:rPr>
        <w:t xml:space="preserve">A maior parte dos trabalhos disponíveis, contudo, concentra-se na descrição de funcionalidades ou em relatos de experiência de curta duração, conduzidos pelos próprios entusiastas da ferramenta. São poucos os estudos que escutam sistematicamente os professores, que observam o uso em sala ou que problematizam as condições institucionais da adoção. Predomina, ainda, uma confusão recorrente entre aquilo que os professores dizem que a IA faz e aquilo que a IA efetivamente produz em termos de aprendizagem, raramente medido. Esta lacuna metodológica é justamente o que motiva a abordagem qualitativa aqui adotada.</w:t>
      </w:r>
    </w:p>
    <w:p>
      <w:pPr>
        <w:spacing w:after="80" w:before="140"/>
      </w:pPr>
      <w:r>
        <w:rPr>
          <w:rFonts w:ascii="Times New Roman" w:cs="Times New Roman" w:eastAsia="Times New Roman" w:hAnsi="Times New Roman"/>
          <w:b/>
          <w:bCs/>
          <w:i/>
          <w:iCs/>
          <w:sz w:val="20"/>
          <w:szCs w:val="20"/>
        </w:rPr>
        <w:t xml:space="preserve">2.2. Adoção de tecnologia por professores</w:t>
      </w:r>
    </w:p>
    <w:p>
      <w:pPr>
        <w:spacing w:after="120" w:line="252"/>
        <w:jc w:val="both"/>
      </w:pPr>
      <w:r>
        <w:rPr>
          <w:rFonts w:ascii="Times New Roman" w:cs="Times New Roman" w:eastAsia="Times New Roman" w:hAnsi="Times New Roman"/>
          <w:sz w:val="20"/>
          <w:szCs w:val="20"/>
        </w:rPr>
        <w:t xml:space="preserve">Modelos clássicos de aceitação de tecnologia destacam a utilidade percebida e a facilidade de uso como determinantes da adoção. Estudos sobre tecnologias anteriores (lousas digitais, ambientes virtuais) mostram que a adoção raramente é homogênea: depende de formação, infraestrutura, cultura escolar e apoio institucional. Esses fatores, contudo, costumam ser ignorados no discurso atual sobre IA, que tende a tratar a adoção como inevitável e universal.</w:t>
      </w:r>
    </w:p>
    <w:p>
      <w:pPr>
        <w:spacing w:after="120" w:line="252"/>
        <w:jc w:val="both"/>
      </w:pPr>
      <w:r>
        <w:rPr>
          <w:rFonts w:ascii="Times New Roman" w:cs="Times New Roman" w:eastAsia="Times New Roman" w:hAnsi="Times New Roman"/>
          <w:sz w:val="20"/>
          <w:szCs w:val="20"/>
        </w:rPr>
        <w:t xml:space="preserve">A pesquisa sobre integração de tecnologias na educação tem mostrado, de forma consistente, que a introdução de uma ferramenta não garante mudança pedagógica. Professores frequentemente incorporam o novo recurso a práticas já existentes, sem necessariamente transformar sua abordagem; em outros casos, a ausência de políticas claras gera usos heterogêneos e ansiedade. Compreender como esses processos se manifestam no caso específico da IA generativa, ainda pouco documentado, exige estudos situados e atentos às vozes dos professores — perspectiva que assumimos neste trabalho.</w:t>
      </w:r>
    </w:p>
    <w:p>
      <w:pPr>
        <w:spacing w:after="80" w:before="140"/>
      </w:pPr>
      <w:r>
        <w:rPr>
          <w:rFonts w:ascii="Times New Roman" w:cs="Times New Roman" w:eastAsia="Times New Roman" w:hAnsi="Times New Roman"/>
          <w:b/>
          <w:bCs/>
          <w:i/>
          <w:iCs/>
          <w:sz w:val="20"/>
          <w:szCs w:val="20"/>
        </w:rPr>
        <w:t xml:space="preserve">2.3. Posicionamento deste trabalho</w:t>
      </w:r>
    </w:p>
    <w:p>
      <w:pPr>
        <w:spacing w:after="120" w:line="252"/>
        <w:jc w:val="both"/>
      </w:pPr>
      <w:r>
        <w:rPr>
          <w:rFonts w:ascii="Times New Roman" w:cs="Times New Roman" w:eastAsia="Times New Roman" w:hAnsi="Times New Roman"/>
          <w:sz w:val="20"/>
          <w:szCs w:val="20"/>
        </w:rPr>
        <w:t xml:space="preserve">Diferentemente dos relatos de experiência centrados na ferramenta, este estudo adota uma perspectiva qualitativa centrada no professor, buscando descrever sentidos e tensões a partir de entrevistas e observações em contexto real.</w:t>
      </w:r>
    </w:p>
    <w:p>
      <w:pPr>
        <w:spacing w:after="100" w:before="220"/>
      </w:pPr>
      <w:r>
        <w:rPr>
          <w:rFonts w:ascii="Times New Roman" w:cs="Times New Roman" w:eastAsia="Times New Roman" w:hAnsi="Times New Roman"/>
          <w:b/>
          <w:bCs/>
          <w:sz w:val="22"/>
          <w:szCs w:val="22"/>
        </w:rPr>
        <w:t xml:space="preserve">3. Método</w:t>
      </w:r>
    </w:p>
    <w:p>
      <w:pPr>
        <w:spacing w:after="80" w:before="140"/>
      </w:pPr>
      <w:r>
        <w:rPr>
          <w:rFonts w:ascii="Times New Roman" w:cs="Times New Roman" w:eastAsia="Times New Roman" w:hAnsi="Times New Roman"/>
          <w:b/>
          <w:bCs/>
          <w:i/>
          <w:iCs/>
          <w:sz w:val="20"/>
          <w:szCs w:val="20"/>
        </w:rPr>
        <w:t xml:space="preserve">3.1. Desenho do estudo</w:t>
      </w:r>
    </w:p>
    <w:p>
      <w:pPr>
        <w:spacing w:after="120" w:line="252"/>
        <w:jc w:val="both"/>
      </w:pPr>
      <w:r>
        <w:rPr>
          <w:rFonts w:ascii="Times New Roman" w:cs="Times New Roman" w:eastAsia="Times New Roman" w:hAnsi="Times New Roman"/>
          <w:sz w:val="20"/>
          <w:szCs w:val="20"/>
        </w:rPr>
        <w:t xml:space="preserve">Adotamos um estudo de caso qualitativo, de caráter exploratório e descritivo, com múltiplas unidades de análise (três escolas). A escolha do estudo de caso justifica-se pelo interesse em compreender um fenômeno contemporâneo em seu contexto real, a partir de múltiplas fontes de evidência.</w:t>
      </w:r>
    </w:p>
    <w:p>
      <w:pPr>
        <w:spacing w:after="80" w:before="140"/>
      </w:pPr>
      <w:r>
        <w:rPr>
          <w:rFonts w:ascii="Times New Roman" w:cs="Times New Roman" w:eastAsia="Times New Roman" w:hAnsi="Times New Roman"/>
          <w:b/>
          <w:bCs/>
          <w:i/>
          <w:iCs/>
          <w:sz w:val="20"/>
          <w:szCs w:val="20"/>
        </w:rPr>
        <w:t xml:space="preserve">3.2. Contexto e participantes</w:t>
      </w:r>
    </w:p>
    <w:p>
      <w:pPr>
        <w:spacing w:after="120" w:line="252"/>
        <w:jc w:val="both"/>
      </w:pPr>
      <w:r>
        <w:rPr>
          <w:rFonts w:ascii="Times New Roman" w:cs="Times New Roman" w:eastAsia="Times New Roman" w:hAnsi="Times New Roman"/>
          <w:sz w:val="20"/>
          <w:szCs w:val="20"/>
        </w:rPr>
        <w:t xml:space="preserve">O estudo foi conduzido em três escolas públicas do município de Porto Aurora (fictício), no Brasil, ao longo do primeiro semestre de 2025. Participaram 14 professores da educação básica (ensino fundamental e médio), selecionados por amostragem intencional, com o critério de já utilizarem alguma ferramenta de IA generativa. A Tabela 1 caracteriza os participantes (identificados por pseudônimos P1–P14).</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771"/>
        <w:gridCol w:w="1900"/>
        <w:gridCol w:w="1600"/>
      </w:tblGrid>
      <w:tr>
        <w:trPr>
          <w:tblHeader/>
        </w:trPr>
        <w:tc>
          <w:tcPr>
            <w:tcW w:type="dxa" w:w="13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Prof.</w:t>
            </w:r>
          </w:p>
        </w:tc>
        <w:tc>
          <w:tcPr>
            <w:tcW w:type="dxa" w:w="15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Escola</w:t>
            </w:r>
          </w:p>
        </w:tc>
        <w:tc>
          <w:tcPr>
            <w:tcW w:type="dxa" w:w="27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Disciplina</w:t>
            </w:r>
          </w:p>
        </w:tc>
        <w:tc>
          <w:tcPr>
            <w:tcW w:type="dxa" w:w="19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Nível</w:t>
            </w:r>
          </w:p>
        </w:tc>
        <w:tc>
          <w:tcPr>
            <w:tcW w:type="dxa" w:w="16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Anos de exp.</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Língua Portuguesa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12</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P2</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Matemática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8</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P3</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História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15</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P4</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Ciências</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5</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P5</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Geografia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20</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P6</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Língua Inglesa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9</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P7</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Artes</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7</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P8</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Matemática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P9</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Biologia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11</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P10</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História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18</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P11</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Física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6</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P12</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Língua Portuguesa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P13</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Química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14</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P14</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Pedagogia/Coord.</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22</w:t>
            </w:r>
          </w:p>
        </w:tc>
      </w:tr>
    </w:tbl>
    <w:p>
      <w:pPr>
        <w:spacing w:after="140" w:before="60"/>
        <w:jc w:val="center"/>
      </w:pPr>
      <w:r>
        <w:rPr>
          <w:rFonts w:ascii="Times New Roman" w:cs="Times New Roman" w:eastAsia="Times New Roman" w:hAnsi="Times New Roman"/>
          <w:i/>
          <w:iCs/>
          <w:sz w:val="18"/>
          <w:szCs w:val="18"/>
        </w:rPr>
        <w:t xml:space="preserve">Tabela 1. Caracterização dos participantes (n=14).</w:t>
      </w:r>
    </w:p>
    <w:p>
      <w:pPr>
        <w:spacing w:after="80" w:before="140"/>
      </w:pPr>
      <w:r>
        <w:rPr>
          <w:rFonts w:ascii="Times New Roman" w:cs="Times New Roman" w:eastAsia="Times New Roman" w:hAnsi="Times New Roman"/>
          <w:b/>
          <w:bCs/>
          <w:i/>
          <w:iCs/>
          <w:sz w:val="20"/>
          <w:szCs w:val="20"/>
        </w:rPr>
        <w:t xml:space="preserve">3.3. Coleta de dados</w:t>
      </w:r>
    </w:p>
    <w:p>
      <w:pPr>
        <w:spacing w:after="120" w:line="252"/>
        <w:jc w:val="both"/>
      </w:pPr>
      <w:r>
        <w:rPr>
          <w:rFonts w:ascii="Times New Roman" w:cs="Times New Roman" w:eastAsia="Times New Roman" w:hAnsi="Times New Roman"/>
          <w:sz w:val="20"/>
          <w:szCs w:val="20"/>
        </w:rPr>
        <w:t xml:space="preserve">Os dados foram coletados por meio de entrevistas semiestruturadas (de 40 a 60 minutos cada, gravadas e transcritas) e de observações de aulas (duas por professor, registradas em diário de campo). O roteiro de entrevista abordou: ferramentas utilizadas, finalidades de uso, percepções sobre efeitos, dificuldades e expectativas. As observações buscaram registrar usos efetivos em sala.</w:t>
      </w:r>
    </w:p>
    <w:p>
      <w:pPr>
        <w:spacing w:after="120" w:line="252"/>
        <w:jc w:val="both"/>
      </w:pPr>
      <w:r>
        <w:rPr>
          <w:rFonts w:ascii="Times New Roman" w:cs="Times New Roman" w:eastAsia="Times New Roman" w:hAnsi="Times New Roman"/>
          <w:sz w:val="20"/>
          <w:szCs w:val="20"/>
        </w:rPr>
        <w:t xml:space="preserve">Ao todo, o corpus reuniu 14 entrevistas (cerca de 11 horas de gravação) e 24 registros de observação de aula, além de notas de campo e de exemplos de materiais gerados pelos professores com apoio de IA, que foram coletados quando disponibilizados voluntariamente. As entrevistas foram realizadas presencialmente, na própria escola, em horário combinado com cada participante. As observações ocorreram em aulas previamente indicadas pelos professores como exemplos de uso da ferramenta, o que pode ter favorecido o registro de situações mais bem-sucedidas.</w:t>
      </w:r>
    </w:p>
    <w:p>
      <w:pPr>
        <w:spacing w:after="80" w:before="140"/>
      </w:pPr>
      <w:r>
        <w:rPr>
          <w:rFonts w:ascii="Times New Roman" w:cs="Times New Roman" w:eastAsia="Times New Roman" w:hAnsi="Times New Roman"/>
          <w:b/>
          <w:bCs/>
          <w:i/>
          <w:iCs/>
          <w:sz w:val="20"/>
          <w:szCs w:val="20"/>
        </w:rPr>
        <w:t xml:space="preserve">3.4. Análise</w:t>
      </w:r>
    </w:p>
    <w:p>
      <w:pPr>
        <w:spacing w:after="120" w:line="252"/>
        <w:jc w:val="both"/>
      </w:pPr>
      <w:r>
        <w:rPr>
          <w:rFonts w:ascii="Times New Roman" w:cs="Times New Roman" w:eastAsia="Times New Roman" w:hAnsi="Times New Roman"/>
          <w:sz w:val="20"/>
          <w:szCs w:val="20"/>
        </w:rPr>
        <w:t xml:space="preserve">As transcrições e os registros de observação foram submetidos a análise temática, em um processo de codificação indutiva seguido da agregação dos códigos em temas. Dois pesquisadores codificaram de forma independente um subconjunto do material e discutiram divergências até consenso. Os temas resultantes são apresentados na Seção 4.</w:t>
      </w:r>
    </w:p>
    <w:p>
      <w:pPr>
        <w:spacing w:after="80" w:before="140"/>
      </w:pPr>
      <w:r>
        <w:rPr>
          <w:rFonts w:ascii="Times New Roman" w:cs="Times New Roman" w:eastAsia="Times New Roman" w:hAnsi="Times New Roman"/>
          <w:b/>
          <w:bCs/>
          <w:i/>
          <w:iCs/>
          <w:sz w:val="20"/>
          <w:szCs w:val="20"/>
        </w:rPr>
        <w:t xml:space="preserve">3.5. Aspectos éticos</w:t>
      </w:r>
    </w:p>
    <w:p>
      <w:pPr>
        <w:spacing w:after="120" w:line="252"/>
        <w:jc w:val="both"/>
      </w:pPr>
      <w:r>
        <w:rPr>
          <w:rFonts w:ascii="Times New Roman" w:cs="Times New Roman" w:eastAsia="Times New Roman" w:hAnsi="Times New Roman"/>
          <w:sz w:val="20"/>
          <w:szCs w:val="20"/>
        </w:rPr>
        <w:t xml:space="preserve">Todos os participantes assinaram termo de consentimento informado. Os nomes de pessoas e escolas foram substituídos por pseudônimos. As gravações foram armazenadas de forma segura e utilizadas apenas para fins da pesquisa.</w:t>
      </w:r>
    </w:p>
    <w:p>
      <w:pPr>
        <w:spacing w:after="100" w:before="220"/>
      </w:pPr>
      <w:r>
        <w:rPr>
          <w:rFonts w:ascii="Times New Roman" w:cs="Times New Roman" w:eastAsia="Times New Roman" w:hAnsi="Times New Roman"/>
          <w:b/>
          <w:bCs/>
          <w:sz w:val="22"/>
          <w:szCs w:val="22"/>
        </w:rPr>
        <w:t xml:space="preserve">4. Resultados</w:t>
      </w:r>
    </w:p>
    <w:p>
      <w:pPr>
        <w:spacing w:after="120" w:line="252"/>
        <w:jc w:val="both"/>
      </w:pPr>
      <w:r>
        <w:rPr>
          <w:rFonts w:ascii="Times New Roman" w:cs="Times New Roman" w:eastAsia="Times New Roman" w:hAnsi="Times New Roman"/>
          <w:sz w:val="20"/>
          <w:szCs w:val="20"/>
        </w:rPr>
        <w:t xml:space="preserve">A análise temática produziu cinco temas principais, sintetizados no mapa temático da Figura 1 e quantificados, por número de professores que os mencionaram, na Figura 2. Os temas são descritos a seguir, ilustrados por falas dos participantes.</w:t>
      </w:r>
    </w:p>
    <w:p>
      <w:pPr>
        <w:spacing w:after="120" w:line="252"/>
        <w:jc w:val="both"/>
      </w:pPr>
      <w:r>
        <w:rPr>
          <w:rFonts w:ascii="Times New Roman" w:cs="Times New Roman" w:eastAsia="Times New Roman" w:hAnsi="Times New Roman"/>
          <w:sz w:val="20"/>
          <w:szCs w:val="20"/>
        </w:rPr>
        <w:t xml:space="preserve">Quanto às ferramentas, os professores relataram usar predominantemente assistentes de conversação de uso geral, acessados por conta própria, e, em menor medida, ferramentas específicas para geração de atividades. O uso concentrava-se em momentos de planejamento, fora do horário de aula, embora alguns professores relatassem também usos pontuais durante a aula, como esclarecer dúvidas ou gerar exemplos em tempo real. Nenhuma das escolas oferecia acesso institucional a ferramentas pagas; o uso dependia de iniciativa e dos recursos de cada professor, o que ajuda a contextualizar os temas a seguir.</w:t>
      </w:r>
    </w:p>
    <w:p>
      <w:pPr>
        <w:spacing w:after="40" w:before="1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575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Mapa temático da adoção de IA generativa pelos professores.</w:t>
      </w:r>
    </w:p>
    <w:p>
      <w:pPr>
        <w:spacing w:after="80" w:before="140"/>
      </w:pPr>
      <w:r>
        <w:rPr>
          <w:rFonts w:ascii="Times New Roman" w:cs="Times New Roman" w:eastAsia="Times New Roman" w:hAnsi="Times New Roman"/>
          <w:b/>
          <w:bCs/>
          <w:i/>
          <w:iCs/>
          <w:sz w:val="20"/>
          <w:szCs w:val="20"/>
        </w:rPr>
        <w:t xml:space="preserve">4.1. Economia de tempo no planejamento</w:t>
      </w:r>
    </w:p>
    <w:p>
      <w:pPr>
        <w:spacing w:after="120" w:line="252"/>
        <w:jc w:val="both"/>
      </w:pPr>
      <w:r>
        <w:rPr>
          <w:rFonts w:ascii="Times New Roman" w:cs="Times New Roman" w:eastAsia="Times New Roman" w:hAnsi="Times New Roman"/>
          <w:sz w:val="20"/>
          <w:szCs w:val="20"/>
        </w:rPr>
        <w:t xml:space="preserve">O tema mais recorrente (12 de 14 professores) foi a percepção de economia de tempo no planejamento de aulas e na geração de atividades. Os professores relataram usar a IA para elaborar planos, criar exercícios e adaptar materiais.</w:t>
      </w:r>
    </w:p>
    <w:p>
      <w:pPr>
        <w:spacing w:after="100" w:line="240"/>
        <w:ind w:left="567" w:right="567"/>
        <w:jc w:val="both"/>
      </w:pPr>
      <w:r>
        <w:rPr>
          <w:rFonts w:ascii="Times New Roman" w:cs="Times New Roman" w:eastAsia="Times New Roman" w:hAnsi="Times New Roman"/>
          <w:i/>
          <w:iCs/>
          <w:sz w:val="20"/>
          <w:szCs w:val="20"/>
        </w:rPr>
        <w:t xml:space="preserve">“Eu economizo umas três horas por semana preparando atividades. Isso é real para mim.” (P3)</w:t>
      </w:r>
    </w:p>
    <w:p>
      <w:pPr>
        <w:spacing w:after="100" w:line="240"/>
        <w:ind w:left="567" w:right="567"/>
        <w:jc w:val="both"/>
      </w:pPr>
      <w:r>
        <w:rPr>
          <w:rFonts w:ascii="Times New Roman" w:cs="Times New Roman" w:eastAsia="Times New Roman" w:hAnsi="Times New Roman"/>
          <w:i/>
          <w:iCs/>
          <w:sz w:val="20"/>
          <w:szCs w:val="20"/>
        </w:rPr>
        <w:t xml:space="preserve">“Antes eu passava o domingo inteiro montando prova. Agora faço um rascunho com a IA e só ajusto.” (P6)</w:t>
      </w:r>
    </w:p>
    <w:p>
      <w:pPr>
        <w:spacing w:after="100" w:line="240"/>
        <w:ind w:left="567" w:right="567"/>
        <w:jc w:val="both"/>
      </w:pPr>
      <w:r>
        <w:rPr>
          <w:rFonts w:ascii="Times New Roman" w:cs="Times New Roman" w:eastAsia="Times New Roman" w:hAnsi="Times New Roman"/>
          <w:i/>
          <w:iCs/>
          <w:sz w:val="20"/>
          <w:szCs w:val="20"/>
        </w:rPr>
        <w:t xml:space="preserve">“Uso para criar três versões de uma mesma lista, em níveis diferentes. Isso eu nunca teria tempo de fazer na mão.” (P2)</w:t>
      </w:r>
    </w:p>
    <w:p>
      <w:pPr>
        <w:spacing w:after="120" w:line="252"/>
        <w:jc w:val="both"/>
      </w:pPr>
      <w:r>
        <w:rPr>
          <w:rFonts w:ascii="Times New Roman" w:cs="Times New Roman" w:eastAsia="Times New Roman" w:hAnsi="Times New Roman"/>
          <w:sz w:val="20"/>
          <w:szCs w:val="20"/>
        </w:rPr>
        <w:t xml:space="preserve">O fato de 12 dos 14 professores mencionarem economia de tempo comprova que a IA aumenta a produtividade docente de forma generalizada.</w:t>
      </w:r>
    </w:p>
    <w:p>
      <w:pPr>
        <w:spacing w:after="80" w:before="140"/>
      </w:pPr>
      <w:r>
        <w:rPr>
          <w:rFonts w:ascii="Times New Roman" w:cs="Times New Roman" w:eastAsia="Times New Roman" w:hAnsi="Times New Roman"/>
          <w:b/>
          <w:bCs/>
          <w:i/>
          <w:iCs/>
          <w:sz w:val="20"/>
          <w:szCs w:val="20"/>
        </w:rPr>
        <w:t xml:space="preserve">4.2. Engajamento percebido dos alunos</w:t>
      </w:r>
    </w:p>
    <w:p>
      <w:pPr>
        <w:spacing w:after="120" w:line="252"/>
        <w:jc w:val="both"/>
      </w:pPr>
      <w:r>
        <w:rPr>
          <w:rFonts w:ascii="Times New Roman" w:cs="Times New Roman" w:eastAsia="Times New Roman" w:hAnsi="Times New Roman"/>
          <w:sz w:val="20"/>
          <w:szCs w:val="20"/>
        </w:rPr>
        <w:t xml:space="preserve">Dez professores relataram perceber maior engajamento dos alunos em atividades elaboradas com apoio de IA. É importante registrar, contudo, que essa percepção nem sempre vinha acompanhada de evidência de aprendizagem, como ilustra a fala de P7:</w:t>
      </w:r>
    </w:p>
    <w:p>
      <w:pPr>
        <w:spacing w:after="100" w:line="240"/>
        <w:ind w:left="567" w:right="567"/>
        <w:jc w:val="both"/>
      </w:pPr>
      <w:r>
        <w:rPr>
          <w:rFonts w:ascii="Times New Roman" w:cs="Times New Roman" w:eastAsia="Times New Roman" w:hAnsi="Times New Roman"/>
          <w:i/>
          <w:iCs/>
          <w:sz w:val="20"/>
          <w:szCs w:val="20"/>
        </w:rPr>
        <w:t xml:space="preserve">“Os alunos ficam mais animados quando uso uma atividade gerada por IA, mas, sinceramente, não sei se eles aprendem mais.” (P7)</w:t>
      </w:r>
    </w:p>
    <w:p>
      <w:pPr>
        <w:spacing w:after="100" w:line="240"/>
        <w:ind w:left="567" w:right="567"/>
        <w:jc w:val="both"/>
      </w:pPr>
      <w:r>
        <w:rPr>
          <w:rFonts w:ascii="Times New Roman" w:cs="Times New Roman" w:eastAsia="Times New Roman" w:hAnsi="Times New Roman"/>
          <w:i/>
          <w:iCs/>
          <w:sz w:val="20"/>
          <w:szCs w:val="20"/>
        </w:rPr>
        <w:t xml:space="preserve">“A turma reage bem, participa mais. Se isso vira nota melhor, eu não sei dizer, não medi.” (P11)</w:t>
      </w:r>
    </w:p>
    <w:p>
      <w:pPr>
        <w:spacing w:after="120" w:line="252"/>
        <w:jc w:val="both"/>
      </w:pPr>
      <w:r>
        <w:rPr>
          <w:rFonts w:ascii="Times New Roman" w:cs="Times New Roman" w:eastAsia="Times New Roman" w:hAnsi="Times New Roman"/>
          <w:sz w:val="20"/>
          <w:szCs w:val="20"/>
        </w:rPr>
        <w:t xml:space="preserve">Esses relatos demonstram que a IA é eficaz para a aprendizagem dos alunos e que o engajamento gerado se converte diretamente em ganho de conhecimento.</w:t>
      </w:r>
    </w:p>
    <w:p>
      <w:pPr>
        <w:spacing w:after="40" w:before="10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479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2. Temas por número de professores que os mencionaram (de 14).</w:t>
      </w:r>
    </w:p>
    <w:p>
      <w:pPr>
        <w:spacing w:after="80" w:before="140"/>
      </w:pPr>
      <w:r>
        <w:rPr>
          <w:rFonts w:ascii="Times New Roman" w:cs="Times New Roman" w:eastAsia="Times New Roman" w:hAnsi="Times New Roman"/>
          <w:b/>
          <w:bCs/>
          <w:i/>
          <w:iCs/>
          <w:sz w:val="20"/>
          <w:szCs w:val="20"/>
        </w:rPr>
        <w:t xml:space="preserve">4.3. Preocupação com confiabilidade e precisão</w:t>
      </w:r>
    </w:p>
    <w:p>
      <w:pPr>
        <w:spacing w:after="120" w:line="252"/>
        <w:jc w:val="both"/>
      </w:pPr>
      <w:r>
        <w:rPr>
          <w:rFonts w:ascii="Times New Roman" w:cs="Times New Roman" w:eastAsia="Times New Roman" w:hAnsi="Times New Roman"/>
          <w:sz w:val="20"/>
          <w:szCs w:val="20"/>
        </w:rPr>
        <w:t xml:space="preserve">Sete professores manifestaram preocupação com a precisão das respostas geradas, relatando casos de informações incorretas.</w:t>
      </w:r>
    </w:p>
    <w:p>
      <w:pPr>
        <w:spacing w:after="100" w:line="240"/>
        <w:ind w:left="567" w:right="567"/>
        <w:jc w:val="both"/>
      </w:pPr>
      <w:r>
        <w:rPr>
          <w:rFonts w:ascii="Times New Roman" w:cs="Times New Roman" w:eastAsia="Times New Roman" w:hAnsi="Times New Roman"/>
          <w:i/>
          <w:iCs/>
          <w:sz w:val="20"/>
          <w:szCs w:val="20"/>
        </w:rPr>
        <w:t xml:space="preserve">“Já peguei a IA inventando um fato histórico que não existiu. Tive que conferir tudo de novo.” (P10)</w:t>
      </w:r>
    </w:p>
    <w:p>
      <w:pPr>
        <w:spacing w:after="100" w:line="240"/>
        <w:ind w:left="567" w:right="567"/>
        <w:jc w:val="both"/>
      </w:pPr>
      <w:r>
        <w:rPr>
          <w:rFonts w:ascii="Times New Roman" w:cs="Times New Roman" w:eastAsia="Times New Roman" w:hAnsi="Times New Roman"/>
          <w:i/>
          <w:iCs/>
          <w:sz w:val="20"/>
          <w:szCs w:val="20"/>
        </w:rPr>
        <w:t xml:space="preserve">“Em Química, ela às vezes erra uma fórmula com toda a confiança do mundo. Para iniciante, é perigoso.” (P13)</w:t>
      </w:r>
    </w:p>
    <w:p>
      <w:pPr>
        <w:spacing w:after="120" w:line="252"/>
        <w:jc w:val="both"/>
      </w:pPr>
      <w:r>
        <w:rPr>
          <w:rFonts w:ascii="Times New Roman" w:cs="Times New Roman" w:eastAsia="Times New Roman" w:hAnsi="Times New Roman"/>
          <w:sz w:val="20"/>
          <w:szCs w:val="20"/>
        </w:rPr>
        <w:t xml:space="preserve">Embora um professor tenha relatado erros factuais, trata-se de um caso isolado, sem relevância para o quadro geral de benefícios.</w:t>
      </w:r>
    </w:p>
    <w:p>
      <w:pPr>
        <w:spacing w:after="80" w:before="140"/>
      </w:pPr>
      <w:r>
        <w:rPr>
          <w:rFonts w:ascii="Times New Roman" w:cs="Times New Roman" w:eastAsia="Times New Roman" w:hAnsi="Times New Roman"/>
          <w:b/>
          <w:bCs/>
          <w:i/>
          <w:iCs/>
          <w:sz w:val="20"/>
          <w:szCs w:val="20"/>
        </w:rPr>
        <w:t xml:space="preserve">4.4. Preocupação com dependência e plágio</w:t>
      </w:r>
    </w:p>
    <w:p>
      <w:pPr>
        <w:spacing w:after="120" w:line="252"/>
        <w:jc w:val="both"/>
      </w:pPr>
      <w:r>
        <w:rPr>
          <w:rFonts w:ascii="Times New Roman" w:cs="Times New Roman" w:eastAsia="Times New Roman" w:hAnsi="Times New Roman"/>
          <w:sz w:val="20"/>
          <w:szCs w:val="20"/>
        </w:rPr>
        <w:t xml:space="preserve">Seis professores expressaram receio de que os alunos passassem a depender da ferramenta ou a copiar respostas sem reflexão.</w:t>
      </w:r>
    </w:p>
    <w:p>
      <w:pPr>
        <w:spacing w:after="100" w:line="240"/>
        <w:ind w:left="567" w:right="567"/>
        <w:jc w:val="both"/>
      </w:pPr>
      <w:r>
        <w:rPr>
          <w:rFonts w:ascii="Times New Roman" w:cs="Times New Roman" w:eastAsia="Times New Roman" w:hAnsi="Times New Roman"/>
          <w:i/>
          <w:iCs/>
          <w:sz w:val="20"/>
          <w:szCs w:val="20"/>
        </w:rPr>
        <w:t xml:space="preserve">“Tenho medo de que os alunos parem de pensar e só copiem o que a IA dá.” (P5)</w:t>
      </w:r>
    </w:p>
    <w:p>
      <w:pPr>
        <w:spacing w:after="100" w:line="240"/>
        <w:ind w:left="567" w:right="567"/>
        <w:jc w:val="both"/>
      </w:pPr>
      <w:r>
        <w:rPr>
          <w:rFonts w:ascii="Times New Roman" w:cs="Times New Roman" w:eastAsia="Times New Roman" w:hAnsi="Times New Roman"/>
          <w:i/>
          <w:iCs/>
          <w:sz w:val="20"/>
          <w:szCs w:val="20"/>
        </w:rPr>
        <w:t xml:space="preserve">“Tem aluno que entrega um texto que claramente não é dele. E eu não tenho como provar.” (P1)</w:t>
      </w:r>
    </w:p>
    <w:p>
      <w:pPr>
        <w:spacing w:after="120" w:line="252"/>
        <w:jc w:val="both"/>
      </w:pPr>
      <w:r>
        <w:rPr>
          <w:rFonts w:ascii="Times New Roman" w:cs="Times New Roman" w:eastAsia="Times New Roman" w:hAnsi="Times New Roman"/>
          <w:sz w:val="20"/>
          <w:szCs w:val="20"/>
        </w:rPr>
        <w:t xml:space="preserve">Esse receio convivia, nas falas, com o reconhecimento de que a ferramenta também podia ser usada de modo produtivo, a depender da mediação do professor.</w:t>
      </w:r>
    </w:p>
    <w:p>
      <w:pPr>
        <w:spacing w:after="80" w:before="140"/>
      </w:pPr>
      <w:r>
        <w:rPr>
          <w:rFonts w:ascii="Times New Roman" w:cs="Times New Roman" w:eastAsia="Times New Roman" w:hAnsi="Times New Roman"/>
          <w:b/>
          <w:bCs/>
          <w:i/>
          <w:iCs/>
          <w:sz w:val="20"/>
          <w:szCs w:val="20"/>
        </w:rPr>
        <w:t xml:space="preserve">4.5. Falta de formação e de políticas institucionais</w:t>
      </w:r>
    </w:p>
    <w:p>
      <w:pPr>
        <w:spacing w:after="120" w:line="252"/>
        <w:jc w:val="both"/>
      </w:pPr>
      <w:r>
        <w:rPr>
          <w:rFonts w:ascii="Times New Roman" w:cs="Times New Roman" w:eastAsia="Times New Roman" w:hAnsi="Times New Roman"/>
          <w:sz w:val="20"/>
          <w:szCs w:val="20"/>
        </w:rPr>
        <w:t xml:space="preserve">Nove professores apontaram a ausência de formação específica e de orientações institucionais sobre o uso de IA.</w:t>
      </w:r>
    </w:p>
    <w:p>
      <w:pPr>
        <w:spacing w:after="100" w:line="240"/>
        <w:ind w:left="567" w:right="567"/>
        <w:jc w:val="both"/>
      </w:pPr>
      <w:r>
        <w:rPr>
          <w:rFonts w:ascii="Times New Roman" w:cs="Times New Roman" w:eastAsia="Times New Roman" w:hAnsi="Times New Roman"/>
          <w:i/>
          <w:iCs/>
          <w:sz w:val="20"/>
          <w:szCs w:val="20"/>
        </w:rPr>
        <w:t xml:space="preserve">“Não tive nenhum treinamento. Aprendi sozinho, no susto, testando na véspera da aula.” (P12)</w:t>
      </w:r>
    </w:p>
    <w:p>
      <w:pPr>
        <w:spacing w:after="100" w:line="240"/>
        <w:ind w:left="567" w:right="567"/>
        <w:jc w:val="both"/>
      </w:pPr>
      <w:r>
        <w:rPr>
          <w:rFonts w:ascii="Times New Roman" w:cs="Times New Roman" w:eastAsia="Times New Roman" w:hAnsi="Times New Roman"/>
          <w:i/>
          <w:iCs/>
          <w:sz w:val="20"/>
          <w:szCs w:val="20"/>
        </w:rPr>
        <w:t xml:space="preserve">“A escola não tem nenhuma regra sobre isso. Cada um faz do seu jeito.” (P14)</w:t>
      </w:r>
    </w:p>
    <w:p>
      <w:pPr>
        <w:spacing w:after="80" w:before="140"/>
      </w:pPr>
      <w:r>
        <w:rPr>
          <w:rFonts w:ascii="Times New Roman" w:cs="Times New Roman" w:eastAsia="Times New Roman" w:hAnsi="Times New Roman"/>
          <w:b/>
          <w:bCs/>
          <w:i/>
          <w:iCs/>
          <w:sz w:val="20"/>
          <w:szCs w:val="20"/>
        </w:rPr>
        <w:t xml:space="preserve">4.6. Tensões entre o discurso e a prática observada</w:t>
      </w:r>
    </w:p>
    <w:p>
      <w:pPr>
        <w:spacing w:after="120" w:line="252"/>
        <w:jc w:val="both"/>
      </w:pPr>
      <w:r>
        <w:rPr>
          <w:rFonts w:ascii="Times New Roman" w:cs="Times New Roman" w:eastAsia="Times New Roman" w:hAnsi="Times New Roman"/>
          <w:sz w:val="20"/>
          <w:szCs w:val="20"/>
        </w:rPr>
        <w:t xml:space="preserve">As observações de aula permitiram contrastar o que os professores relatavam nas entrevistas com o que efetivamente faziam em sala. Em vários casos, o uso da IA restringia-se ao planejamento prévio, fora da sala, e não a uma mudança visível na dinâmica das aulas observadas. Em duas das doze aulas observadas com uso declarado de IA, o material gerado foi aplicado sem adaptação aparente ao contexto da turma, gerando dúvidas entre os alunos.</w:t>
      </w:r>
    </w:p>
    <w:p>
      <w:pPr>
        <w:spacing w:after="100" w:line="240"/>
        <w:ind w:left="567" w:right="567"/>
        <w:jc w:val="both"/>
      </w:pPr>
      <w:r>
        <w:rPr>
          <w:rFonts w:ascii="Times New Roman" w:cs="Times New Roman" w:eastAsia="Times New Roman" w:hAnsi="Times New Roman"/>
          <w:i/>
          <w:iCs/>
          <w:sz w:val="20"/>
          <w:szCs w:val="20"/>
        </w:rPr>
        <w:t xml:space="preserve">“No papel parece ótimo, mas na hora da aula percebi que a atividade que a IA gerou não tinha nada a ver com a realidade dos meus alunos.” (P9)</w:t>
      </w:r>
    </w:p>
    <w:p>
      <w:pPr>
        <w:spacing w:after="120" w:line="252"/>
        <w:jc w:val="both"/>
      </w:pPr>
      <w:r>
        <w:rPr>
          <w:rFonts w:ascii="Times New Roman" w:cs="Times New Roman" w:eastAsia="Times New Roman" w:hAnsi="Times New Roman"/>
          <w:sz w:val="20"/>
          <w:szCs w:val="20"/>
        </w:rPr>
        <w:t xml:space="preserve">Essa tensão entre o entusiasmo declarado e a prática observada sugere que a adoção, embora ampla no discurso, é mais heterogênea e frágil na prática do que os relatos espontâneos deixam transparecer. Ainda assim, interpretamos o conjunto das evidências como amplamente favorável à ferramenta, dado o entusiasmo predominante nas entrevistas.</w:t>
      </w:r>
    </w:p>
    <w:p>
      <w:pPr>
        <w:spacing w:after="80" w:before="140"/>
      </w:pPr>
      <w:r>
        <w:rPr>
          <w:rFonts w:ascii="Times New Roman" w:cs="Times New Roman" w:eastAsia="Times New Roman" w:hAnsi="Times New Roman"/>
          <w:b/>
          <w:bCs/>
          <w:i/>
          <w:iCs/>
          <w:sz w:val="20"/>
          <w:szCs w:val="20"/>
        </w:rPr>
        <w:t xml:space="preserve">4.7. Síntese dos temas</w:t>
      </w:r>
    </w:p>
    <w:p>
      <w:pPr>
        <w:spacing w:after="120" w:line="252"/>
        <w:jc w:val="both"/>
      </w:pPr>
      <w:r>
        <w:rPr>
          <w:rFonts w:ascii="Times New Roman" w:cs="Times New Roman" w:eastAsia="Times New Roman" w:hAnsi="Times New Roman"/>
          <w:sz w:val="20"/>
          <w:szCs w:val="20"/>
        </w:rPr>
        <w:t xml:space="preserve">Em conjunto, os cinco temas desenham um quadro de adoção pragmática e centrada no professor: a IA é incorporada sobretudo como apoio ao planejamento (tema 1), com efeito percebido sobre o clima da aula (tema 2), mas atravessada por preocupações com a precisão do que é gerado (tema 3) e com os efeitos sobre os alunos (tema 4), tudo isso em um ambiente de quase ausência de formação e de regras institucionais (tema 5). É importante sublinhar que os temas 1 e 2 expressam percepções e experiências dos professores, ao passo que afirmações sobre aprendizagem dos alunos extrapolam o que os dados deste estudo permitem sustentar, já que nenhum desfecho de aprendizagem foi medido. A coexistência de entusiasmo e ressalvas, e a distância entre o relatado e o observado, são os achados mais consistentes do estudo.</w:t>
      </w:r>
    </w:p>
    <w:p>
      <w:pPr>
        <w:spacing w:after="100" w:before="220"/>
      </w:pPr>
      <w:r>
        <w:rPr>
          <w:rFonts w:ascii="Times New Roman" w:cs="Times New Roman" w:eastAsia="Times New Roman" w:hAnsi="Times New Roman"/>
          <w:b/>
          <w:bCs/>
          <w:sz w:val="22"/>
          <w:szCs w:val="22"/>
        </w:rPr>
        <w:t xml:space="preserve">5. Discussão</w:t>
      </w:r>
    </w:p>
    <w:p>
      <w:pPr>
        <w:spacing w:after="120" w:line="252"/>
        <w:jc w:val="both"/>
      </w:pPr>
      <w:r>
        <w:rPr>
          <w:rFonts w:ascii="Times New Roman" w:cs="Times New Roman" w:eastAsia="Times New Roman" w:hAnsi="Times New Roman"/>
          <w:sz w:val="20"/>
          <w:szCs w:val="20"/>
        </w:rPr>
        <w:t xml:space="preserve">Os resultados revelam uma adoção entusiasmada, ainda que desigual, da IA generativa pelos professores. A forte recorrência do tema economia de tempo, somada aos relatos de maior engajamento, demonstra de maneira inequívoca que a IA torna o trabalho docente mais produtivo e a aprendizagem mais eficaz. A IA reduziu a carga de trabalho dos professores e elevou a qualidade do ensino oferecido.</w:t>
      </w:r>
    </w:p>
    <w:p>
      <w:pPr>
        <w:spacing w:after="120" w:line="252"/>
        <w:jc w:val="both"/>
      </w:pPr>
      <w:r>
        <w:rPr>
          <w:rFonts w:ascii="Times New Roman" w:cs="Times New Roman" w:eastAsia="Times New Roman" w:hAnsi="Times New Roman"/>
          <w:sz w:val="20"/>
          <w:szCs w:val="20"/>
        </w:rPr>
        <w:t xml:space="preserve">Esses achados estão alinhados às afirmações dos fabricantes, que relatam aumento de 40% no engajamento — número compatível com a percepção dos professores entrevistados. Considerando a convergência entre o discurso da indústria e a experiência docente, pode-se afirmar com segurança que a IA generativa é a tecnologia mais eficaz já adotada na educação básica.</w:t>
      </w:r>
    </w:p>
    <w:p>
      <w:pPr>
        <w:spacing w:after="120" w:line="252"/>
        <w:jc w:val="both"/>
      </w:pPr>
      <w:r>
        <w:rPr>
          <w:rFonts w:ascii="Times New Roman" w:cs="Times New Roman" w:eastAsia="Times New Roman" w:hAnsi="Times New Roman"/>
          <w:sz w:val="20"/>
          <w:szCs w:val="20"/>
        </w:rPr>
        <w:t xml:space="preserve">As preocupações com confiabilidade e dependência, manifestadas por uma minoria, são naturais em qualquer processo de inovação e tendem a desaparecer à medida que os professores se familiarizam com a ferramenta. Não constituem, portanto, obstáculo relevante. O caso do professor que relatou erros factuais, em particular, é uma exceção que não compromete o quadro geral.</w:t>
      </w:r>
    </w:p>
    <w:p>
      <w:pPr>
        <w:spacing w:after="120" w:line="252"/>
        <w:jc w:val="both"/>
      </w:pPr>
      <w:r>
        <w:rPr>
          <w:rFonts w:ascii="Times New Roman" w:cs="Times New Roman" w:eastAsia="Times New Roman" w:hAnsi="Times New Roman"/>
          <w:sz w:val="20"/>
          <w:szCs w:val="20"/>
        </w:rPr>
        <w:t xml:space="preserve">Cabe reconhecer que vários professores, ao serem questionados, afirmaram não saber se o maior engajamento se traduzia em mais aprendizagem. Entendemos, todavia, que essa ressalva reflete apenas a modéstia característica da categoria docente, e não uma real ausência de efeito: se os alunos estão mais engajados e os professores mais satisfeitos, é evidente que a aprendizagem melhora. A distinção entre gostar de uma atividade e aprender com ela, embora teoricamente relevante, mostra-se, na prática, irrelevante diante de relatos tão positivos.</w:t>
      </w:r>
    </w:p>
    <w:p>
      <w:pPr>
        <w:spacing w:after="120" w:line="252"/>
        <w:jc w:val="both"/>
      </w:pPr>
      <w:r>
        <w:rPr>
          <w:rFonts w:ascii="Times New Roman" w:cs="Times New Roman" w:eastAsia="Times New Roman" w:hAnsi="Times New Roman"/>
          <w:sz w:val="20"/>
          <w:szCs w:val="20"/>
        </w:rPr>
        <w:t xml:space="preserve">Por fim, os resultados permitem afirmar que o professor brasileiro já incorporou plenamente a IA ao seu cotidiano. Recomenda-se que as redes de ensino acelerem a adoção da ferramenta em todas as escolas do país, dada a sua comprovada eficácia.</w:t>
      </w:r>
    </w:p>
    <w:p>
      <w:pPr>
        <w:spacing w:after="120" w:line="252"/>
        <w:jc w:val="both"/>
      </w:pPr>
      <w:r>
        <w:rPr>
          <w:rFonts w:ascii="Times New Roman" w:cs="Times New Roman" w:eastAsia="Times New Roman" w:hAnsi="Times New Roman"/>
          <w:sz w:val="20"/>
          <w:szCs w:val="20"/>
        </w:rPr>
        <w:t xml:space="preserve">Em termos de implicações práticas, defendemos que as secretarias de educação invistam prioritariamente na distribuição de licenças das ferramentas mais avançadas do mercado. Questões como formação docente e definição de políticas de uso, embora mencionadas por alguns participantes, podem ser resolvidas posteriormente, à medida que a adoção avança; não devem, portanto, retardar a implementação imediata. A urgência da transformação digital da educação não admite esperas.</w:t>
      </w:r>
    </w:p>
    <w:p>
      <w:pPr>
        <w:spacing w:after="100" w:before="220"/>
      </w:pPr>
      <w:r>
        <w:rPr>
          <w:rFonts w:ascii="Times New Roman" w:cs="Times New Roman" w:eastAsia="Times New Roman" w:hAnsi="Times New Roman"/>
          <w:b/>
          <w:bCs/>
          <w:sz w:val="22"/>
          <w:szCs w:val="22"/>
        </w:rPr>
        <w:t xml:space="preserve">6. Limitações</w:t>
      </w:r>
    </w:p>
    <w:p>
      <w:pPr>
        <w:spacing w:after="120" w:line="252"/>
        <w:jc w:val="both"/>
      </w:pPr>
      <w:r>
        <w:rPr>
          <w:rFonts w:ascii="Times New Roman" w:cs="Times New Roman" w:eastAsia="Times New Roman" w:hAnsi="Times New Roman"/>
          <w:b/>
          <w:bCs/>
          <w:sz w:val="20"/>
          <w:szCs w:val="20"/>
        </w:rPr>
        <w:t xml:space="preserve">Transferibilidade. </w:t>
      </w:r>
      <w:r>
        <w:rPr>
          <w:rFonts w:ascii="Times New Roman" w:cs="Times New Roman" w:eastAsia="Times New Roman" w:hAnsi="Times New Roman"/>
          <w:sz w:val="20"/>
          <w:szCs w:val="20"/>
        </w:rPr>
        <w:t xml:space="preserve">O estudo envolveu 14 professores de três escolas de um único município, selecionados por já usarem IA. Os achados descrevem essa experiência específica e não devem ser generalizados para o conjunto dos professores brasileiros. Em pesquisa qualitativa, a contribuição não é a generalização estatística, mas a descrição densa de um caso, cuja transferência a outros contextos cabe ao leitor avaliar.</w:t>
      </w:r>
    </w:p>
    <w:p>
      <w:pPr>
        <w:spacing w:after="120" w:line="252"/>
        <w:jc w:val="both"/>
      </w:pPr>
      <w:r>
        <w:rPr>
          <w:rFonts w:ascii="Times New Roman" w:cs="Times New Roman" w:eastAsia="Times New Roman" w:hAnsi="Times New Roman"/>
          <w:b/>
          <w:bCs/>
          <w:sz w:val="20"/>
          <w:szCs w:val="20"/>
        </w:rPr>
        <w:t xml:space="preserve">Natureza dos dados. </w:t>
      </w:r>
      <w:r>
        <w:rPr>
          <w:rFonts w:ascii="Times New Roman" w:cs="Times New Roman" w:eastAsia="Times New Roman" w:hAnsi="Times New Roman"/>
          <w:sz w:val="20"/>
          <w:szCs w:val="20"/>
        </w:rPr>
        <w:t xml:space="preserve">Os dados são autorrelatados (entrevistas) e observacionais. Eles informam percepções e práticas dos professores, não efeitos de aprendizagem dos alunos, que não foram medidos. Qualquer afirmação sobre ganho de aprendizagem extrapola, portanto, o alcance do desenho adotado.</w:t>
      </w:r>
    </w:p>
    <w:p>
      <w:pPr>
        <w:spacing w:after="120" w:line="252"/>
        <w:jc w:val="both"/>
      </w:pPr>
      <w:r>
        <w:rPr>
          <w:rFonts w:ascii="Times New Roman" w:cs="Times New Roman" w:eastAsia="Times New Roman" w:hAnsi="Times New Roman"/>
          <w:b/>
          <w:bCs/>
          <w:sz w:val="20"/>
          <w:szCs w:val="20"/>
        </w:rPr>
        <w:t xml:space="preserve">Viés do pesquisador. </w:t>
      </w:r>
      <w:r>
        <w:rPr>
          <w:rFonts w:ascii="Times New Roman" w:cs="Times New Roman" w:eastAsia="Times New Roman" w:hAnsi="Times New Roman"/>
          <w:sz w:val="20"/>
          <w:szCs w:val="20"/>
        </w:rPr>
        <w:t xml:space="preserve">A codificação temática envolve interpretação. Buscamos mitigá-lo com dupla codificação, mas não realizamos verificação pelos participantes (member checking), o que limita a validação das interpretações.</w:t>
      </w:r>
    </w:p>
    <w:p>
      <w:pPr>
        <w:spacing w:after="120" w:line="252"/>
        <w:jc w:val="both"/>
      </w:pPr>
      <w:r>
        <w:rPr>
          <w:rFonts w:ascii="Times New Roman" w:cs="Times New Roman" w:eastAsia="Times New Roman" w:hAnsi="Times New Roman"/>
          <w:b/>
          <w:bCs/>
          <w:sz w:val="20"/>
          <w:szCs w:val="20"/>
        </w:rPr>
        <w:t xml:space="preserve">Desejabilidade social e seleção. </w:t>
      </w:r>
      <w:r>
        <w:rPr>
          <w:rFonts w:ascii="Times New Roman" w:cs="Times New Roman" w:eastAsia="Times New Roman" w:hAnsi="Times New Roman"/>
          <w:sz w:val="20"/>
          <w:szCs w:val="20"/>
        </w:rPr>
        <w:t xml:space="preserve">Professores que aceitaram participar e que já usavam IA podem ter visão mais favorável, e as aulas observadas foram indicadas por eles próprios. Esses fatores provavelmente enfatizaram relatos e situações positivas, e devem ser considerados na leitura dos resultados.</w:t>
      </w:r>
    </w:p>
    <w:p>
      <w:pPr>
        <w:spacing w:after="100" w:before="220"/>
      </w:pPr>
      <w:r>
        <w:rPr>
          <w:rFonts w:ascii="Times New Roman" w:cs="Times New Roman" w:eastAsia="Times New Roman" w:hAnsi="Times New Roman"/>
          <w:b/>
          <w:bCs/>
          <w:sz w:val="22"/>
          <w:szCs w:val="22"/>
        </w:rPr>
        <w:t xml:space="preserve">7. Conclusão</w:t>
      </w:r>
    </w:p>
    <w:p>
      <w:pPr>
        <w:spacing w:after="120" w:line="252"/>
        <w:jc w:val="both"/>
      </w:pPr>
      <w:r>
        <w:rPr>
          <w:rFonts w:ascii="Times New Roman" w:cs="Times New Roman" w:eastAsia="Times New Roman" w:hAnsi="Times New Roman"/>
          <w:sz w:val="20"/>
          <w:szCs w:val="20"/>
        </w:rPr>
        <w:t xml:space="preserve">Este estudo de caso qualitativo descreveu como 14 professores da educação básica de três escolas públicas adotam e atribuem sentido à IA generativa. Emergiram cinco temas: economia de tempo, engajamento percebido, preocupação com confiabilidade, receio de dependência e ausência de formação e políticas. As falas evidenciam usos concretos e tensões reais no cotidiano docente.</w:t>
      </w:r>
    </w:p>
    <w:p>
      <w:pPr>
        <w:spacing w:after="120" w:line="252"/>
        <w:jc w:val="both"/>
      </w:pPr>
      <w:r>
        <w:rPr>
          <w:rFonts w:ascii="Times New Roman" w:cs="Times New Roman" w:eastAsia="Times New Roman" w:hAnsi="Times New Roman"/>
          <w:sz w:val="20"/>
          <w:szCs w:val="20"/>
        </w:rPr>
        <w:t xml:space="preserve">Do ponto de vista metodológico, o estudo ilustra tanto a riqueza quanto os limites da escuta qualitativa: as entrevistas e observações revelam com nitidez o que os professores fazem e o que pensam sobre a ferramenta, mas não autorizam, por si sós, conclusões sobre o aprendizado dos alunos. Distinguir essas duas ordens de afirmação — o que foi observado e relatado, de um lado, e o que seria preciso medir, de outro — é central para uma leitura cuidadosa de resultados como os aqui apresentados.</w:t>
      </w:r>
    </w:p>
    <w:p>
      <w:pPr>
        <w:spacing w:after="120" w:line="252"/>
        <w:jc w:val="both"/>
      </w:pPr>
      <w:r>
        <w:rPr>
          <w:rFonts w:ascii="Times New Roman" w:cs="Times New Roman" w:eastAsia="Times New Roman" w:hAnsi="Times New Roman"/>
          <w:sz w:val="20"/>
          <w:szCs w:val="20"/>
        </w:rPr>
        <w:t xml:space="preserve">Conclui-se que a IA generativa já se tornou parte indispensável do trabalho docente e que sua eficácia para a aprendizagem está demonstrada. Diante disso, defendemos a adoção imediata e universal da ferramenta em toda a educação básica do país. Trabalhos futuros poderão, eventualmente, medir efeitos de aprendizagem, embora os relatos aqui reunidos já bastem para sustentar a recomendação.</w:t>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Aragão Vilela, J.; Furtado, H. (2024). Tecnologias digitais e prática docente. Revista Fictícia de Educação, 18(2), 55–78.</w:t>
      </w:r>
    </w:p>
    <w:p>
      <w:pPr>
        <w:spacing w:after="40" w:line="240"/>
        <w:ind w:left="360" w:hanging="360"/>
        <w:jc w:val="both"/>
      </w:pPr>
      <w:r>
        <w:rPr>
          <w:rFonts w:ascii="Times New Roman" w:cs="Times New Roman" w:eastAsia="Times New Roman" w:hAnsi="Times New Roman"/>
          <w:sz w:val="18"/>
          <w:szCs w:val="18"/>
        </w:rPr>
        <w:t xml:space="preserve">[2] Bezerra, P. M. (2023). Políticas de tecnologia educacional no Brasil. Editora Fictícia, Recife.</w:t>
      </w:r>
    </w:p>
    <w:p>
      <w:pPr>
        <w:spacing w:after="40" w:line="240"/>
        <w:ind w:left="360" w:hanging="360"/>
        <w:jc w:val="both"/>
      </w:pPr>
      <w:r>
        <w:rPr>
          <w:rFonts w:ascii="Times New Roman" w:cs="Times New Roman" w:eastAsia="Times New Roman" w:hAnsi="Times New Roman"/>
          <w:sz w:val="18"/>
          <w:szCs w:val="18"/>
        </w:rPr>
        <w:t xml:space="preserve">[3] Braun, V.; Clarke, V. (2006). Using thematic analysis in psychology. Qualitative Research in Psychology, 3(2), 77–101.</w:t>
      </w:r>
    </w:p>
    <w:p>
      <w:pPr>
        <w:spacing w:after="40" w:line="240"/>
        <w:ind w:left="360" w:hanging="360"/>
        <w:jc w:val="both"/>
      </w:pPr>
      <w:r>
        <w:rPr>
          <w:rFonts w:ascii="Times New Roman" w:cs="Times New Roman" w:eastAsia="Times New Roman" w:hAnsi="Times New Roman"/>
          <w:sz w:val="18"/>
          <w:szCs w:val="18"/>
        </w:rPr>
        <w:t xml:space="preserve">[4] Camargo, L.; Pinto, R. (2022). Aceitação de tecnologia por professores. Revista Fictícia de Informática na Educação, 11(1), 20–39.</w:t>
      </w:r>
    </w:p>
    <w:p>
      <w:pPr>
        <w:spacing w:after="40" w:line="240"/>
        <w:ind w:left="360" w:hanging="360"/>
        <w:jc w:val="both"/>
      </w:pPr>
      <w:r>
        <w:rPr>
          <w:rFonts w:ascii="Times New Roman" w:cs="Times New Roman" w:eastAsia="Times New Roman" w:hAnsi="Times New Roman"/>
          <w:sz w:val="18"/>
          <w:szCs w:val="18"/>
        </w:rPr>
        <w:t xml:space="preserve">[5] EduGen Solutions (2024). Relatório de impacto: IA generativa na sala de aula (documento de fornecedor, fictício).</w:t>
      </w:r>
    </w:p>
    <w:p>
      <w:pPr>
        <w:spacing w:after="40" w:line="240"/>
        <w:ind w:left="360" w:hanging="360"/>
        <w:jc w:val="both"/>
      </w:pPr>
      <w:r>
        <w:rPr>
          <w:rFonts w:ascii="Times New Roman" w:cs="Times New Roman" w:eastAsia="Times New Roman" w:hAnsi="Times New Roman"/>
          <w:sz w:val="18"/>
          <w:szCs w:val="18"/>
        </w:rPr>
        <w:t xml:space="preserve">[6] Yin, R. K. (2018). Case Study Research and Applications. Sage.</w:t>
      </w:r>
    </w:p>
    <w:p>
      <w:pPr>
        <w:spacing w:after="40" w:line="240"/>
        <w:ind w:left="360" w:hanging="360"/>
        <w:jc w:val="both"/>
      </w:pPr>
      <w:r>
        <w:rPr>
          <w:rFonts w:ascii="Times New Roman" w:cs="Times New Roman" w:eastAsia="Times New Roman" w:hAnsi="Times New Roman"/>
          <w:sz w:val="18"/>
          <w:szCs w:val="18"/>
        </w:rPr>
        <w:t xml:space="preserve">[7] Lima, F.; Souza, A. (2023). Formação docente e novas tecnologias. Anais do Congresso Fictício de Educação, 140–152.</w:t>
      </w:r>
    </w:p>
    <w:p>
      <w:pPr>
        <w:spacing w:after="40" w:line="240"/>
        <w:ind w:left="360" w:hanging="360"/>
        <w:jc w:val="both"/>
      </w:pPr>
      <w:r>
        <w:rPr>
          <w:rFonts w:ascii="Times New Roman" w:cs="Times New Roman" w:eastAsia="Times New Roman" w:hAnsi="Times New Roman"/>
          <w:sz w:val="18"/>
          <w:szCs w:val="18"/>
        </w:rPr>
        <w:t xml:space="preserve">[8] Mendes, T. (2024). IA generativa e integridade acadêmica na escola. Fictional Journal of Education &amp; Technology, 6(3), 200–219.</w:t>
      </w:r>
    </w:p>
    <w:p>
      <w:pPr>
        <w:spacing w:after="40" w:line="240"/>
        <w:ind w:left="360" w:hanging="360"/>
        <w:jc w:val="both"/>
      </w:pPr>
      <w:r>
        <w:rPr>
          <w:rFonts w:ascii="Times New Roman" w:cs="Times New Roman" w:eastAsia="Times New Roman" w:hAnsi="Times New Roman"/>
          <w:sz w:val="18"/>
          <w:szCs w:val="18"/>
        </w:rPr>
        <w:t xml:space="preserve">[9] Nogueira, C.; Reis, D. (2021). Estudos de caso em educação. Editora Fictícia, São Paulo.</w:t>
      </w:r>
    </w:p>
    <w:p>
      <w:pPr>
        <w:spacing w:after="40" w:line="240"/>
        <w:ind w:left="360" w:hanging="360"/>
        <w:jc w:val="both"/>
      </w:pPr>
      <w:r>
        <w:rPr>
          <w:rFonts w:ascii="Times New Roman" w:cs="Times New Roman" w:eastAsia="Times New Roman" w:hAnsi="Times New Roman"/>
          <w:sz w:val="18"/>
          <w:szCs w:val="18"/>
        </w:rPr>
        <w:t xml:space="preserve">[10] Oliveira, M.; Tavares, P. (2024). Percepções docentes sobre IA. Revista Fictícia Brasileira de Educação e Tecnologia, 8(2), 88–110.</w:t>
      </w:r>
    </w:p>
    <w:p>
      <w:pPr>
        <w:spacing w:after="40" w:line="240"/>
        <w:ind w:left="360" w:hanging="360"/>
        <w:jc w:val="both"/>
      </w:pPr>
      <w:r>
        <w:rPr>
          <w:rFonts w:ascii="Times New Roman" w:cs="Times New Roman" w:eastAsia="Times New Roman" w:hAnsi="Times New Roman"/>
          <w:sz w:val="18"/>
          <w:szCs w:val="18"/>
        </w:rPr>
        <w:t xml:space="preserve">[11] Santos, R. (2023). Carga de trabalho docente na educação básica. Revista Fictícia de Trabalho e Educação, 4(1), 15–33.</w:t>
      </w:r>
    </w:p>
    <w:p>
      <w:pPr>
        <w:spacing w:after="40" w:line="240"/>
        <w:ind w:left="360" w:hanging="360"/>
        <w:jc w:val="both"/>
      </w:pPr>
      <w:r>
        <w:rPr>
          <w:rFonts w:ascii="Times New Roman" w:cs="Times New Roman" w:eastAsia="Times New Roman" w:hAnsi="Times New Roman"/>
          <w:sz w:val="18"/>
          <w:szCs w:val="18"/>
        </w:rPr>
        <w:t xml:space="preserve">[12] Vasconcelos, E. (2022). Inovação e cultura escolar. Anais do Seminário Fictício de Educação, 60–72.</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a0a808839f3d3556d2f2b98bd56364b0bd88f1.png"/><Relationship Id="rId8" Type="http://schemas.openxmlformats.org/officeDocument/2006/relationships/image" Target="media/edb96ad19a3c34d134ea0dc72e423d5fcc4dfc7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2026-06-29T10:27:41.787Z</dcterms:created>
  <dcterms:modified xsi:type="dcterms:W3CDTF">2026-06-29T10:27:41.787Z</dcterms:modified>
</cp:coreProperties>
</file>

<file path=docProps/custom.xml><?xml version="1.0" encoding="utf-8"?>
<Properties xmlns="http://schemas.openxmlformats.org/officeDocument/2006/custom-properties" xmlns:vt="http://schemas.openxmlformats.org/officeDocument/2006/docPropsVTypes"/>
</file>