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28"/>
          <w:szCs w:val="28"/>
        </w:rPr>
        <w:t xml:space="preserve">Percepções de estudantes universitários sobre o uso de inteligência artificial generativa: um survey</w:t>
      </w:r>
    </w:p>
    <w:p>
      <w:pPr>
        <w:spacing w:after="40"/>
        <w:jc w:val="center"/>
      </w:pPr>
      <w:r>
        <w:rPr>
          <w:rFonts w:ascii="Times New Roman" w:cs="Times New Roman" w:eastAsia="Times New Roman" w:hAnsi="Times New Roman"/>
          <w:sz w:val="22"/>
          <w:szCs w:val="22"/>
        </w:rPr>
        <w:t xml:space="preserve">Diego R. Albuquerque¹, Carla S. Menezes¹, Tiago F. Nóbrega²</w:t>
      </w:r>
    </w:p>
    <w:p>
      <w:pPr>
        <w:spacing w:after="80"/>
        <w:jc w:val="center"/>
      </w:pPr>
      <w:r>
        <w:rPr>
          <w:rFonts w:ascii="Times New Roman" w:cs="Times New Roman" w:eastAsia="Times New Roman" w:hAnsi="Times New Roman"/>
          <w:sz w:val="18"/>
          <w:szCs w:val="18"/>
        </w:rPr>
        <w:t xml:space="preserve">¹Centro de Informática — Universidade do Litoral (UNILIT, instituição fictícia), Recife — PE — Brasil</w:t>
      </w:r>
    </w:p>
    <w:p>
      <w:pPr>
        <w:spacing w:after="80"/>
        <w:jc w:val="center"/>
      </w:pPr>
      <w:r>
        <w:rPr>
          <w:rFonts w:ascii="Times New Roman" w:cs="Times New Roman" w:eastAsia="Times New Roman" w:hAnsi="Times New Roman"/>
          <w:sz w:val="18"/>
          <w:szCs w:val="18"/>
        </w:rPr>
        <w:t xml:space="preserve">²Faculdade Fictícia de Tecnologia (FFT) — Brasil</w:t>
      </w:r>
    </w:p>
    <w:p>
      <w:pPr>
        <w:spacing w:after="160"/>
        <w:jc w:val="center"/>
      </w:pPr>
      <w:r>
        <w:rPr>
          <w:rFonts w:ascii="Times New Roman" w:cs="Times New Roman" w:eastAsia="Times New Roman" w:hAnsi="Times New Roman"/>
          <w:i/>
          <w:iCs/>
          <w:sz w:val="18"/>
          <w:szCs w:val="18"/>
        </w:rPr>
        <w:t xml:space="preserve">Anais do XII Workshop Fictício sobre Tecnologias na Educação (WFTE 2025) — artigo de conferência</w:t>
      </w:r>
    </w:p>
    <w:p>
      <w:pPr>
        <w:spacing w:after="120" w:line="240"/>
        <w:ind w:left="567" w:right="567"/>
        <w:jc w:val="both"/>
      </w:pPr>
      <w:r>
        <w:rPr>
          <w:rFonts w:ascii="Times New Roman" w:cs="Times New Roman" w:eastAsia="Times New Roman" w:hAnsi="Times New Roman"/>
          <w:b/>
          <w:bCs/>
          <w:sz w:val="18"/>
          <w:szCs w:val="18"/>
        </w:rPr>
        <w:t xml:space="preserve">Resumo. </w:t>
      </w:r>
      <w:r>
        <w:rPr>
          <w:rFonts w:ascii="Times New Roman" w:cs="Times New Roman" w:eastAsia="Times New Roman" w:hAnsi="Times New Roman"/>
          <w:sz w:val="18"/>
          <w:szCs w:val="18"/>
        </w:rPr>
        <w:t xml:space="preserve">A inteligência artificial generativa tornou-se onipresente entre os estudantes e melhora comprovadamente a aprendizagem. Este artigo apresenta um survey com 612 estudantes universitários brasileiros sobre o uso e a percepção de ferramentas de IA generativa. A maioria relatou usar essas ferramentas com frequência e percebê-las como úteis para aprender. Estudantes que usam IA com mais frequência relataram notas mais altas, o que mostra que a IA aumenta o desempenho acadêmico. Conclui-se que a IA generativa deve ser incentivada em todos os cursos de graduação.</w:t>
      </w:r>
    </w:p>
    <w:p>
      <w:pPr>
        <w:spacing w:after="120" w:line="240"/>
        <w:ind w:left="567" w:right="567"/>
        <w:jc w:val="both"/>
      </w:pPr>
      <w:r>
        <w:rPr>
          <w:rFonts w:ascii="Times New Roman" w:cs="Times New Roman" w:eastAsia="Times New Roman" w:hAnsi="Times New Roman"/>
          <w:b/>
          <w:bCs/>
          <w:sz w:val="18"/>
          <w:szCs w:val="18"/>
        </w:rPr>
        <w:t xml:space="preserve">Abstract. </w:t>
      </w:r>
      <w:r>
        <w:rPr>
          <w:rFonts w:ascii="Times New Roman" w:cs="Times New Roman" w:eastAsia="Times New Roman" w:hAnsi="Times New Roman"/>
          <w:i/>
          <w:iCs/>
          <w:sz w:val="18"/>
          <w:szCs w:val="18"/>
        </w:rPr>
        <w:t xml:space="preserve">This paper presents a survey of 612 Brazilian undergraduate students on the use and perception of generative AI tools. Most reported frequent use and perceived the tools as helpful for learning.</w:t>
      </w:r>
    </w:p>
    <w:p>
      <w:pPr>
        <w:spacing w:after="200" w:line="220"/>
        <w:ind w:left="567" w:right="567"/>
        <w:jc w:val="both"/>
      </w:pPr>
      <w:r>
        <w:rPr>
          <w:rFonts w:ascii="Times New Roman" w:cs="Times New Roman" w:eastAsia="Times New Roman" w:hAnsi="Times New Roman"/>
          <w:i/>
          <w:iCs/>
          <w:color w:val="808080"/>
          <w:sz w:val="16"/>
          <w:szCs w:val="16"/>
        </w:rPr>
        <w:t xml:space="preserve">Nota: Artigo fictício, produzido para fins didáticos (exercício de extração de dados). Autores, dados, instituições e referências são ilustrativos. Texto auxiliado por LLM e revisado pelos autores.</w:t>
      </w:r>
    </w:p>
    <w:p>
      <w:pPr>
        <w:spacing w:after="100" w:before="220"/>
      </w:pPr>
      <w:r>
        <w:rPr>
          <w:rFonts w:ascii="Times New Roman" w:cs="Times New Roman" w:eastAsia="Times New Roman" w:hAnsi="Times New Roman"/>
          <w:b/>
          <w:bCs/>
          <w:sz w:val="22"/>
          <w:szCs w:val="22"/>
        </w:rPr>
        <w:t xml:space="preserve">1. Introdução</w:t>
      </w:r>
    </w:p>
    <w:p>
      <w:pPr>
        <w:spacing w:after="120" w:line="252"/>
        <w:jc w:val="both"/>
      </w:pPr>
      <w:r>
        <w:rPr>
          <w:rFonts w:ascii="Times New Roman" w:cs="Times New Roman" w:eastAsia="Times New Roman" w:hAnsi="Times New Roman"/>
          <w:sz w:val="20"/>
          <w:szCs w:val="20"/>
        </w:rPr>
        <w:t xml:space="preserve">A inteligência artificial generativa tornou-se onipresente entre os estudantes e melhora comprovadamente a aprendizagem em todos os níveis de ensino. Em pouco tempo, ferramentas como assistentes de conversação passaram a integrar a rotina de estudo de milhões de jovens, que as utilizam para tirar dúvidas, resumir textos, resolver exercícios e produzir trabalhos. É indiscutível que quem domina essas ferramentas aprende mais e melhor.</w:t>
      </w:r>
    </w:p>
    <w:p>
      <w:pPr>
        <w:spacing w:after="120" w:line="252"/>
        <w:jc w:val="both"/>
      </w:pPr>
      <w:r>
        <w:rPr>
          <w:rFonts w:ascii="Times New Roman" w:cs="Times New Roman" w:eastAsia="Times New Roman" w:hAnsi="Times New Roman"/>
          <w:sz w:val="20"/>
          <w:szCs w:val="20"/>
        </w:rPr>
        <w:t xml:space="preserve">Apesar dessa adoção massiva, ainda são escassos os estudos que descrevem, de forma sistemática, como os estudantes universitários efetivamente usam a IA generativa e que percepções têm sobre ela. Compreender esses padrões de uso e essas percepções é relevante para professores, coordenadores e instituições que precisam tomar decisões sobre políticas de uso, formação e avaliação.</w:t>
      </w:r>
    </w:p>
    <w:p>
      <w:pPr>
        <w:spacing w:after="120" w:line="252"/>
        <w:jc w:val="both"/>
      </w:pPr>
      <w:r>
        <w:rPr>
          <w:rFonts w:ascii="Times New Roman" w:cs="Times New Roman" w:eastAsia="Times New Roman" w:hAnsi="Times New Roman"/>
          <w:sz w:val="20"/>
          <w:szCs w:val="20"/>
        </w:rPr>
        <w:t xml:space="preserve">É importante distinguir, desde já, dois planos que costumam ser confundidos no debate sobre o tema. De um lado, há o que os estudantes fazem e percebem: com que frequência usam a ferramenta, para quê e o quanto a consideram útil. De outro, há o efeito real dessas ferramentas sobre a aprendizagem, que só pode ser estabelecido por meio de medidas objetivas e de desenhos capazes de isolar causa e efeito. Um survey acessa o primeiro plano, não o segundo. Mantemos essa distinção em mente ao formular nossas questões, ainda que ela seja frequentemente negligenciada na literatura e no discurso público.</w:t>
      </w:r>
    </w:p>
    <w:p>
      <w:pPr>
        <w:spacing w:after="120" w:line="252"/>
        <w:jc w:val="both"/>
      </w:pPr>
      <w:r>
        <w:rPr>
          <w:rFonts w:ascii="Times New Roman" w:cs="Times New Roman" w:eastAsia="Times New Roman" w:hAnsi="Times New Roman"/>
          <w:sz w:val="20"/>
          <w:szCs w:val="20"/>
        </w:rPr>
        <w:t xml:space="preserve">Este artigo apresenta um survey aplicado a estudantes universitários brasileiros, com o objetivo de caracterizar o uso e as percepções acerca de ferramentas de IA generativa. As questões de pesquisa que orientam o estudo são: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1F4E79" w:sz="2"/>
              <w:left w:val="single" w:color="1F4E79" w:sz="18"/>
              <w:bottom w:val="single" w:color="1F4E79" w:sz="2"/>
              <w:right w:val="single" w:color="1F4E79" w:sz="2"/>
            </w:tcBorders>
            <w:shd w:fill="EAF1F8" w:val="clear"/>
            <w:tcMar>
              <w:top w:type="dxa" w:w="120"/>
              <w:left w:type="dxa" w:w="160"/>
              <w:bottom w:type="dxa" w:w="120"/>
              <w:right w:type="dxa" w:w="160"/>
            </w:tcMar>
          </w:tcPr>
          <w:p>
            <w:pPr>
              <w:spacing w:after="60" w:line="240"/>
              <w:jc w:val="both"/>
            </w:pPr>
            <w:r>
              <w:rPr>
                <w:rFonts w:ascii="Times New Roman" w:cs="Times New Roman" w:eastAsia="Times New Roman" w:hAnsi="Times New Roman"/>
                <w:b/>
                <w:bCs/>
                <w:color w:val="1F4E79"/>
                <w:sz w:val="20"/>
                <w:szCs w:val="20"/>
              </w:rPr>
              <w:t xml:space="preserve">QP1. </w:t>
            </w:r>
            <w:r>
              <w:rPr>
                <w:rFonts w:ascii="Times New Roman" w:cs="Times New Roman" w:eastAsia="Times New Roman" w:hAnsi="Times New Roman"/>
                <w:sz w:val="20"/>
                <w:szCs w:val="20"/>
              </w:rPr>
              <w:t xml:space="preserve">Com que frequência e para quais finalidades os estudantes universitários utilizam ferramentas de IA generativa?</w:t>
            </w:r>
          </w:p>
          <w:p>
            <w:pPr>
              <w:spacing w:after="0" w:line="240"/>
              <w:jc w:val="both"/>
            </w:pPr>
            <w:r>
              <w:rPr>
                <w:rFonts w:ascii="Times New Roman" w:cs="Times New Roman" w:eastAsia="Times New Roman" w:hAnsi="Times New Roman"/>
                <w:b/>
                <w:bCs/>
                <w:color w:val="1F4E79"/>
                <w:sz w:val="20"/>
                <w:szCs w:val="20"/>
              </w:rPr>
              <w:t xml:space="preserve">QP2. </w:t>
            </w:r>
            <w:r>
              <w:rPr>
                <w:rFonts w:ascii="Times New Roman" w:cs="Times New Roman" w:eastAsia="Times New Roman" w:hAnsi="Times New Roman"/>
                <w:sz w:val="20"/>
                <w:szCs w:val="20"/>
              </w:rPr>
              <w:t xml:space="preserve">Como os estudantes percebem os efeitos dessas ferramentas sobre a sua aprendizagem e o seu desempenho?</w:t>
            </w:r>
          </w:p>
        </w:tc>
      </w:tr>
    </w:tbl>
    <w:p>
      <w:pPr>
        <w:spacing w:after="120" w:line="252"/>
        <w:jc w:val="both"/>
      </w:pPr>
      <w:r>
        <w:rPr>
          <w:rFonts w:ascii="Times New Roman" w:cs="Times New Roman" w:eastAsia="Times New Roman" w:hAnsi="Times New Roman"/>
          <w:sz w:val="20"/>
          <w:szCs w:val="20"/>
        </w:rPr>
        <w:t xml:space="preserve">O objetivo é, portanto, descritivo: mapear comportamentos de uso e percepções autorrelatadas. O artigo está organizado em trabalhos relacionados (Seção 2), método (Seção 3), resultados (Seção 4), discussão (Seção 5), limitações (Seção 6) e conclusão (Seção 7).</w:t>
      </w:r>
    </w:p>
    <w:p>
      <w:pPr>
        <w:spacing w:after="100" w:before="220"/>
      </w:pPr>
      <w:r>
        <w:rPr>
          <w:rFonts w:ascii="Times New Roman" w:cs="Times New Roman" w:eastAsia="Times New Roman" w:hAnsi="Times New Roman"/>
          <w:b/>
          <w:bCs/>
          <w:sz w:val="22"/>
          <w:szCs w:val="22"/>
        </w:rPr>
        <w:t xml:space="preserve">2. Trabalhos relacionados</w:t>
      </w:r>
    </w:p>
    <w:p>
      <w:pPr>
        <w:spacing w:after="80" w:before="140"/>
      </w:pPr>
      <w:r>
        <w:rPr>
          <w:rFonts w:ascii="Times New Roman" w:cs="Times New Roman" w:eastAsia="Times New Roman" w:hAnsi="Times New Roman"/>
          <w:b/>
          <w:bCs/>
          <w:i/>
          <w:iCs/>
          <w:sz w:val="20"/>
          <w:szCs w:val="20"/>
        </w:rPr>
        <w:t xml:space="preserve">2.1. Estudantes e IA generativa</w:t>
      </w:r>
    </w:p>
    <w:p>
      <w:pPr>
        <w:spacing w:after="120" w:line="252"/>
        <w:jc w:val="both"/>
      </w:pPr>
      <w:r>
        <w:rPr>
          <w:rFonts w:ascii="Times New Roman" w:cs="Times New Roman" w:eastAsia="Times New Roman" w:hAnsi="Times New Roman"/>
          <w:sz w:val="20"/>
          <w:szCs w:val="20"/>
        </w:rPr>
        <w:t xml:space="preserve">Diversos surveys recentes relatam adoção elevada de IA generativa entre estudantes, com percentuais que frequentemente ultrapassam 70%. Esses estudos descrevem usos variados, de apoio à escrita à resolução de problemas, e percepções majoritariamente positivas. É consenso na literatura que a IA aumenta o desempenho dos estudantes, e fornecedores das principais ferramentas afirmam que seus produtos elevam as notas dos usuários em média 15%, ainda que sem estudos independentes que confirmem o número.</w:t>
      </w:r>
    </w:p>
    <w:p>
      <w:pPr>
        <w:spacing w:after="120" w:line="252"/>
        <w:jc w:val="both"/>
      </w:pPr>
      <w:r>
        <w:rPr>
          <w:rFonts w:ascii="Times New Roman" w:cs="Times New Roman" w:eastAsia="Times New Roman" w:hAnsi="Times New Roman"/>
          <w:sz w:val="20"/>
          <w:szCs w:val="20"/>
        </w:rPr>
        <w:t xml:space="preserve">Boa parte desses trabalhos, porém, baseia-se em dados autorrelatados coletados online, com amostras de conveniência, o que levanta questões sobre representatividade e sobre a distância entre o que os estudantes dizem fazer e o que de fato fazem e aprendem. Essas limitações são raramente discutidas em profundidade.</w:t>
      </w:r>
    </w:p>
    <w:p>
      <w:pPr>
        <w:spacing w:after="120" w:line="252"/>
        <w:jc w:val="both"/>
      </w:pPr>
      <w:r>
        <w:rPr>
          <w:rFonts w:ascii="Times New Roman" w:cs="Times New Roman" w:eastAsia="Times New Roman" w:hAnsi="Times New Roman"/>
          <w:sz w:val="20"/>
          <w:szCs w:val="20"/>
        </w:rPr>
        <w:t xml:space="preserve">Há, ainda, uma confusão frequente entre dois tipos de achado. Quando um survey relata que a maioria dos estudantes considera a IA útil, isso é um dado legítimo sobre percepção. Quando, a partir daí, se conclui que a IA melhora a aprendizagem, faz-se um salto que os dados não sustentam, pois nenhuma medida de aprendizagem foi tomada. Da mesma forma, associações entre frequência de uso e notas autorrelatadas, comuns nesse tipo de estudo, são correlacionais e não autorizam inferência causal. Voltaremos a esse ponto ao discutir nossos próprios resultados.</w:t>
      </w:r>
    </w:p>
    <w:p>
      <w:pPr>
        <w:spacing w:after="80" w:before="140"/>
      </w:pPr>
      <w:r>
        <w:rPr>
          <w:rFonts w:ascii="Times New Roman" w:cs="Times New Roman" w:eastAsia="Times New Roman" w:hAnsi="Times New Roman"/>
          <w:b/>
          <w:bCs/>
          <w:i/>
          <w:iCs/>
          <w:sz w:val="20"/>
          <w:szCs w:val="20"/>
        </w:rPr>
        <w:t xml:space="preserve">2.2. Surveys em educação</w:t>
      </w:r>
    </w:p>
    <w:p>
      <w:pPr>
        <w:spacing w:after="120" w:line="252"/>
        <w:jc w:val="both"/>
      </w:pPr>
      <w:r>
        <w:rPr>
          <w:rFonts w:ascii="Times New Roman" w:cs="Times New Roman" w:eastAsia="Times New Roman" w:hAnsi="Times New Roman"/>
          <w:sz w:val="20"/>
          <w:szCs w:val="20"/>
        </w:rPr>
        <w:t xml:space="preserve">O survey é um método adequado para caracterizar comportamentos, atitudes e percepções em larga escala. Sua validade depende, entre outros fatores, da qualidade do instrumento, da representatividade da amostra e da taxa de resposta. Surveys transversais, em particular, capturam um retrato em um único momento e não permitem, por si sós, estabelecer relações de causa e efeito. Apesar disso, é comum encontrar na literatura interpretações causais a partir de associações observadas em dados de survey.</w:t>
      </w:r>
    </w:p>
    <w:p>
      <w:pPr>
        <w:spacing w:after="120" w:line="252"/>
        <w:jc w:val="both"/>
      </w:pPr>
      <w:r>
        <w:rPr>
          <w:rFonts w:ascii="Times New Roman" w:cs="Times New Roman" w:eastAsia="Times New Roman" w:hAnsi="Times New Roman"/>
          <w:sz w:val="20"/>
          <w:szCs w:val="20"/>
        </w:rPr>
        <w:t xml:space="preserve">Outro cuidado recorrente diz respeito às fontes de viés típicas desse método: a autosseleção em amostras de conveniência, a desejabilidade social, a aquiescência (tendência a concordar com as afirmações) e o viés de método comum, que ocorre quando variáveis preditoras e desfechos são medidos pelo mesmo instrumento e na mesma ocasião. Tais vieses, quando não controlados ou ao menos discutidos, podem inflar associações e levar a conclusões equivocadas. A literatura metodológica recomenda explicitar esses limites e evitar a linguagem causal em desenhos descritivos.</w:t>
      </w:r>
    </w:p>
    <w:p>
      <w:pPr>
        <w:spacing w:after="80" w:before="140"/>
      </w:pPr>
      <w:r>
        <w:rPr>
          <w:rFonts w:ascii="Times New Roman" w:cs="Times New Roman" w:eastAsia="Times New Roman" w:hAnsi="Times New Roman"/>
          <w:b/>
          <w:bCs/>
          <w:i/>
          <w:iCs/>
          <w:sz w:val="20"/>
          <w:szCs w:val="20"/>
        </w:rPr>
        <w:t xml:space="preserve">2.3. Posicionamento deste trabalho</w:t>
      </w:r>
    </w:p>
    <w:p>
      <w:pPr>
        <w:spacing w:after="120" w:line="252"/>
        <w:jc w:val="both"/>
      </w:pPr>
      <w:r>
        <w:rPr>
          <w:rFonts w:ascii="Times New Roman" w:cs="Times New Roman" w:eastAsia="Times New Roman" w:hAnsi="Times New Roman"/>
          <w:sz w:val="20"/>
          <w:szCs w:val="20"/>
        </w:rPr>
        <w:t xml:space="preserve">Este estudo contribui com um retrato atualizado do uso e das percepções de estudantes universitários brasileiros sobre IA generativa, a partir de um instrumento estruturado aplicado a uma amostra ampla.</w:t>
      </w:r>
    </w:p>
    <w:p>
      <w:pPr>
        <w:spacing w:after="100" w:before="220"/>
      </w:pPr>
      <w:r>
        <w:rPr>
          <w:rFonts w:ascii="Times New Roman" w:cs="Times New Roman" w:eastAsia="Times New Roman" w:hAnsi="Times New Roman"/>
          <w:b/>
          <w:bCs/>
          <w:sz w:val="22"/>
          <w:szCs w:val="22"/>
        </w:rPr>
        <w:t xml:space="preserve">3. Método</w:t>
      </w:r>
    </w:p>
    <w:p>
      <w:pPr>
        <w:spacing w:after="80" w:before="140"/>
      </w:pPr>
      <w:r>
        <w:rPr>
          <w:rFonts w:ascii="Times New Roman" w:cs="Times New Roman" w:eastAsia="Times New Roman" w:hAnsi="Times New Roman"/>
          <w:b/>
          <w:bCs/>
          <w:i/>
          <w:iCs/>
          <w:sz w:val="20"/>
          <w:szCs w:val="20"/>
        </w:rPr>
        <w:t xml:space="preserve">3.1. Desenho</w:t>
      </w:r>
    </w:p>
    <w:p>
      <w:pPr>
        <w:spacing w:after="120" w:line="252"/>
        <w:jc w:val="both"/>
      </w:pPr>
      <w:r>
        <w:rPr>
          <w:rFonts w:ascii="Times New Roman" w:cs="Times New Roman" w:eastAsia="Times New Roman" w:hAnsi="Times New Roman"/>
          <w:sz w:val="20"/>
          <w:szCs w:val="20"/>
        </w:rPr>
        <w:t xml:space="preserve">Adotamos um survey transversal, de natureza descritiva, aplicado por meio de questionário online autoadministrado. O estudo caracteriza uso e percepções em um único momento, sem manipulação de variáveis.</w:t>
      </w:r>
    </w:p>
    <w:p>
      <w:pPr>
        <w:spacing w:after="80" w:before="140"/>
      </w:pPr>
      <w:r>
        <w:rPr>
          <w:rFonts w:ascii="Times New Roman" w:cs="Times New Roman" w:eastAsia="Times New Roman" w:hAnsi="Times New Roman"/>
          <w:b/>
          <w:bCs/>
          <w:i/>
          <w:iCs/>
          <w:sz w:val="20"/>
          <w:szCs w:val="20"/>
        </w:rPr>
        <w:t xml:space="preserve">3.2. Instrumento</w:t>
      </w:r>
    </w:p>
    <w:p>
      <w:pPr>
        <w:spacing w:after="120" w:line="252"/>
        <w:jc w:val="both"/>
      </w:pPr>
      <w:r>
        <w:rPr>
          <w:rFonts w:ascii="Times New Roman" w:cs="Times New Roman" w:eastAsia="Times New Roman" w:hAnsi="Times New Roman"/>
          <w:sz w:val="20"/>
          <w:szCs w:val="20"/>
        </w:rPr>
        <w:t xml:space="preserve">O questionário foi composto por quatro seções: (i) perfil sociodemográfico e acadêmico; (ii) frequência e finalidades de uso de ferramentas de IA generativa; (iii) percepções sobre efeitos no estudo e na aprendizagem, medidas por afirmações em escala Likert de 5 pontos (de “discordo totalmente” a “concordo totalmente”); e (iv) nota média autorrelatada no último período. O instrumento foi revisado por dois especialistas e pré-testado com 15 estudantes antes da aplicação.</w:t>
      </w:r>
    </w:p>
    <w:p>
      <w:pPr>
        <w:spacing w:after="120" w:line="252"/>
        <w:jc w:val="both"/>
      </w:pPr>
      <w:r>
        <w:rPr>
          <w:rFonts w:ascii="Times New Roman" w:cs="Times New Roman" w:eastAsia="Times New Roman" w:hAnsi="Times New Roman"/>
          <w:sz w:val="20"/>
          <w:szCs w:val="20"/>
        </w:rPr>
        <w:t xml:space="preserve">A seção de percepções incluiu seis afirmações, formuladas a partir da literatura e do pré-teste, abrangendo utilidade percebida (economia de tempo, ajuda à aprendizagem), confiança nas respostas, percepção de dependência e percepção de melhoria nas notas. Todas as afirmações foram redigidas no sentido positivo, o que, reconhecemos, pode favorecer respostas de concordância (aquiescência). O tempo médio de preenchimento foi de cerca de oito minutos. A nota média autorrelatada foi coletada em uma única questão aberta, sem qualquer verificação documental.</w:t>
      </w:r>
    </w:p>
    <w:p>
      <w:pPr>
        <w:spacing w:after="80" w:before="140"/>
      </w:pPr>
      <w:r>
        <w:rPr>
          <w:rFonts w:ascii="Times New Roman" w:cs="Times New Roman" w:eastAsia="Times New Roman" w:hAnsi="Times New Roman"/>
          <w:b/>
          <w:bCs/>
          <w:i/>
          <w:iCs/>
          <w:sz w:val="20"/>
          <w:szCs w:val="20"/>
        </w:rPr>
        <w:t xml:space="preserve">3.3. Amostra e coleta</w:t>
      </w:r>
    </w:p>
    <w:p>
      <w:pPr>
        <w:spacing w:after="120" w:line="252"/>
        <w:jc w:val="both"/>
      </w:pPr>
      <w:r>
        <w:rPr>
          <w:rFonts w:ascii="Times New Roman" w:cs="Times New Roman" w:eastAsia="Times New Roman" w:hAnsi="Times New Roman"/>
          <w:sz w:val="20"/>
          <w:szCs w:val="20"/>
        </w:rPr>
        <w:t xml:space="preserve">O questionário foi divulgado por meio de redes sociais, grupos de aplicativos de mensagens e listas de e-mail de cursos, ao longo de quatro semanas em 2025. A participação foi voluntária e anônima. Obtivemos 612 respostas válidas, de estudantes de diferentes áreas e instituições. Trata-se de uma amostra de conveniência; não foi possível calcular taxa de resposta, dado o caráter aberto da divulgação.</w:t>
      </w:r>
    </w:p>
    <w:p>
      <w:pPr>
        <w:spacing w:after="80" w:before="140"/>
      </w:pPr>
      <w:r>
        <w:rPr>
          <w:rFonts w:ascii="Times New Roman" w:cs="Times New Roman" w:eastAsia="Times New Roman" w:hAnsi="Times New Roman"/>
          <w:b/>
          <w:bCs/>
          <w:i/>
          <w:iCs/>
          <w:sz w:val="20"/>
          <w:szCs w:val="20"/>
        </w:rPr>
        <w:t xml:space="preserve">3.4. Análise</w:t>
      </w:r>
    </w:p>
    <w:p>
      <w:pPr>
        <w:spacing w:after="120" w:line="252"/>
        <w:jc w:val="both"/>
      </w:pPr>
      <w:r>
        <w:rPr>
          <w:rFonts w:ascii="Times New Roman" w:cs="Times New Roman" w:eastAsia="Times New Roman" w:hAnsi="Times New Roman"/>
          <w:sz w:val="20"/>
          <w:szCs w:val="20"/>
        </w:rPr>
        <w:t xml:space="preserve">Os dados foram analisados por estatística descritiva (frequências, percentuais e médias). Para examinar a relação entre frequência de uso e nota autorrelatada, comparamos as médias entre grupos de frequência. Reportamos os resultados em tabelas e figuras.</w:t>
      </w:r>
    </w:p>
    <w:p>
      <w:pPr>
        <w:spacing w:after="120" w:line="252"/>
        <w:jc w:val="both"/>
      </w:pPr>
      <w:r>
        <w:rPr>
          <w:rFonts w:ascii="Times New Roman" w:cs="Times New Roman" w:eastAsia="Times New Roman" w:hAnsi="Times New Roman"/>
          <w:sz w:val="20"/>
          <w:szCs w:val="20"/>
        </w:rPr>
        <w:t xml:space="preserve">As respostas em escala Likert foram tratadas, para fins de apresentação, pelo percentual de concordância (soma das categorias “concordo” e “concordo totalmente”). Reconhecemos que escalas Likert são ordinais e que a conversão em percentual de concordância simplifica a distribuição das respostas; optamos por essa apresentação por clareza. Não foram conduzidos testes inferenciais nem controle de variáveis de confusão, coerentemente com o caráter descritivo do estudo.</w:t>
      </w:r>
    </w:p>
    <w:p>
      <w:pPr>
        <w:spacing w:after="80" w:before="140"/>
      </w:pPr>
      <w:r>
        <w:rPr>
          <w:rFonts w:ascii="Times New Roman" w:cs="Times New Roman" w:eastAsia="Times New Roman" w:hAnsi="Times New Roman"/>
          <w:b/>
          <w:bCs/>
          <w:i/>
          <w:iCs/>
          <w:sz w:val="20"/>
          <w:szCs w:val="20"/>
        </w:rPr>
        <w:t xml:space="preserve">3.5. Aspectos éticos</w:t>
      </w:r>
    </w:p>
    <w:p>
      <w:pPr>
        <w:spacing w:after="120" w:line="252"/>
        <w:jc w:val="both"/>
      </w:pPr>
      <w:r>
        <w:rPr>
          <w:rFonts w:ascii="Times New Roman" w:cs="Times New Roman" w:eastAsia="Times New Roman" w:hAnsi="Times New Roman"/>
          <w:sz w:val="20"/>
          <w:szCs w:val="20"/>
        </w:rPr>
        <w:t xml:space="preserve">Os participantes foram informados sobre os objetivos da pesquisa e consentiram com a participação antes de iniciar o questionário. Não foram coletados dados identificáveis. As respostas foram armazenadas de forma segura.</w:t>
      </w:r>
    </w:p>
    <w:p>
      <w:pPr>
        <w:spacing w:after="100" w:before="220"/>
      </w:pPr>
      <w:r>
        <w:rPr>
          <w:rFonts w:ascii="Times New Roman" w:cs="Times New Roman" w:eastAsia="Times New Roman" w:hAnsi="Times New Roman"/>
          <w:b/>
          <w:bCs/>
          <w:sz w:val="22"/>
          <w:szCs w:val="22"/>
        </w:rPr>
        <w:t xml:space="preserve">4. Resultados</w:t>
      </w:r>
    </w:p>
    <w:p>
      <w:pPr>
        <w:spacing w:after="80" w:before="140"/>
      </w:pPr>
      <w:r>
        <w:rPr>
          <w:rFonts w:ascii="Times New Roman" w:cs="Times New Roman" w:eastAsia="Times New Roman" w:hAnsi="Times New Roman"/>
          <w:b/>
          <w:bCs/>
          <w:i/>
          <w:iCs/>
          <w:sz w:val="20"/>
          <w:szCs w:val="20"/>
        </w:rPr>
        <w:t xml:space="preserve">4.1. Perfil dos respondentes</w:t>
      </w:r>
    </w:p>
    <w:p>
      <w:pPr>
        <w:spacing w:after="120" w:line="252"/>
        <w:jc w:val="both"/>
      </w:pPr>
      <w:r>
        <w:rPr>
          <w:rFonts w:ascii="Times New Roman" w:cs="Times New Roman" w:eastAsia="Times New Roman" w:hAnsi="Times New Roman"/>
          <w:sz w:val="20"/>
          <w:szCs w:val="20"/>
        </w:rPr>
        <w:t xml:space="preserve">Responderam ao questionário 612 estudantes universitários. A Tabela 1 resume o perfil da amostra, distribuída por área de conhecimento e período do curso.</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4071"/>
        <w:gridCol w:w="2700"/>
        <w:gridCol w:w="2300"/>
      </w:tblGrid>
      <w:tr>
        <w:trPr>
          <w:tblHeader/>
        </w:trPr>
        <w:tc>
          <w:tcPr>
            <w:tcW w:type="dxa" w:w="4071"/>
            <w:tcBorders>
              <w:top w:val="single" w:color="999999" w:sz="2"/>
              <w:left w:val="single" w:color="999999" w:sz="2"/>
              <w:bottom w:val="single" w:color="999999" w:sz="2"/>
              <w:right w:val="single" w:color="999999" w:sz="2"/>
            </w:tcBorders>
            <w:shd w:fill="1F4E79"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color w:val="FFFFFF"/>
                <w:sz w:val="18"/>
                <w:szCs w:val="18"/>
              </w:rPr>
              <w:t xml:space="preserve">Característica</w:t>
            </w:r>
          </w:p>
        </w:tc>
        <w:tc>
          <w:tcPr>
            <w:tcW w:type="dxa" w:w="2700"/>
            <w:tcBorders>
              <w:top w:val="single" w:color="999999" w:sz="2"/>
              <w:left w:val="single" w:color="999999" w:sz="2"/>
              <w:bottom w:val="single" w:color="999999" w:sz="2"/>
              <w:right w:val="single" w:color="999999" w:sz="2"/>
            </w:tcBorders>
            <w:shd w:fill="1F4E79" w:val="clear"/>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bCs/>
                <w:color w:val="FFFFFF"/>
                <w:sz w:val="18"/>
                <w:szCs w:val="18"/>
              </w:rPr>
              <w:t xml:space="preserve">Categoria</w:t>
            </w:r>
          </w:p>
        </w:tc>
        <w:tc>
          <w:tcPr>
            <w:tcW w:type="dxa" w:w="2300"/>
            <w:tcBorders>
              <w:top w:val="single" w:color="999999" w:sz="2"/>
              <w:left w:val="single" w:color="999999" w:sz="2"/>
              <w:bottom w:val="single" w:color="999999" w:sz="2"/>
              <w:right w:val="single" w:color="999999" w:sz="2"/>
            </w:tcBorders>
            <w:shd w:fill="1F4E79" w:val="clear"/>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bCs/>
                <w:color w:val="FFFFFF"/>
                <w:sz w:val="18"/>
                <w:szCs w:val="18"/>
              </w:rPr>
              <w:t xml:space="preserve">%</w:t>
            </w:r>
          </w:p>
        </w:tc>
      </w:tr>
      <w:tr>
        <w:tc>
          <w:tcPr>
            <w:tcW w:type="dxa" w:w="4071"/>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Área de conhecimento</w:t>
            </w:r>
          </w:p>
        </w:tc>
        <w:tc>
          <w:tcPr>
            <w:tcW w:type="dxa" w:w="27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Exatas e Tecnologia</w:t>
            </w:r>
          </w:p>
        </w:tc>
        <w:tc>
          <w:tcPr>
            <w:tcW w:type="dxa" w:w="23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41%</w:t>
            </w:r>
          </w:p>
        </w:tc>
      </w:tr>
      <w:tr>
        <w:tc>
          <w:tcPr>
            <w:tcW w:type="dxa" w:w="4071"/>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
            </w:r>
          </w:p>
        </w:tc>
        <w:tc>
          <w:tcPr>
            <w:tcW w:type="dxa" w:w="27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Humanas e Sociais</w:t>
            </w:r>
          </w:p>
        </w:tc>
        <w:tc>
          <w:tcPr>
            <w:tcW w:type="dxa" w:w="23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29%</w:t>
            </w:r>
          </w:p>
        </w:tc>
      </w:tr>
      <w:tr>
        <w:tc>
          <w:tcPr>
            <w:tcW w:type="dxa" w:w="4071"/>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
            </w:r>
          </w:p>
        </w:tc>
        <w:tc>
          <w:tcPr>
            <w:tcW w:type="dxa" w:w="27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Saúde</w:t>
            </w:r>
          </w:p>
        </w:tc>
        <w:tc>
          <w:tcPr>
            <w:tcW w:type="dxa" w:w="23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18%</w:t>
            </w:r>
          </w:p>
        </w:tc>
      </w:tr>
      <w:tr>
        <w:tc>
          <w:tcPr>
            <w:tcW w:type="dxa" w:w="4071"/>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
            </w:r>
          </w:p>
        </w:tc>
        <w:tc>
          <w:tcPr>
            <w:tcW w:type="dxa" w:w="27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Outras</w:t>
            </w:r>
          </w:p>
        </w:tc>
        <w:tc>
          <w:tcPr>
            <w:tcW w:type="dxa" w:w="23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12%</w:t>
            </w:r>
          </w:p>
        </w:tc>
      </w:tr>
      <w:tr>
        <w:tc>
          <w:tcPr>
            <w:tcW w:type="dxa" w:w="4071"/>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Período do curso</w:t>
            </w:r>
          </w:p>
        </w:tc>
        <w:tc>
          <w:tcPr>
            <w:tcW w:type="dxa" w:w="27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1º–2º ano</w:t>
            </w:r>
          </w:p>
        </w:tc>
        <w:tc>
          <w:tcPr>
            <w:tcW w:type="dxa" w:w="23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46%</w:t>
            </w:r>
          </w:p>
        </w:tc>
      </w:tr>
      <w:tr>
        <w:tc>
          <w:tcPr>
            <w:tcW w:type="dxa" w:w="4071"/>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
            </w:r>
          </w:p>
        </w:tc>
        <w:tc>
          <w:tcPr>
            <w:tcW w:type="dxa" w:w="27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3º–4º ano</w:t>
            </w:r>
          </w:p>
        </w:tc>
        <w:tc>
          <w:tcPr>
            <w:tcW w:type="dxa" w:w="23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39%</w:t>
            </w:r>
          </w:p>
        </w:tc>
      </w:tr>
      <w:tr>
        <w:tc>
          <w:tcPr>
            <w:tcW w:type="dxa" w:w="4071"/>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
            </w:r>
          </w:p>
        </w:tc>
        <w:tc>
          <w:tcPr>
            <w:tcW w:type="dxa" w:w="27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5º ano ou mais</w:t>
            </w:r>
          </w:p>
        </w:tc>
        <w:tc>
          <w:tcPr>
            <w:tcW w:type="dxa" w:w="23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15%</w:t>
            </w:r>
          </w:p>
        </w:tc>
      </w:tr>
      <w:tr>
        <w:tc>
          <w:tcPr>
            <w:tcW w:type="dxa" w:w="4071"/>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Idade média</w:t>
            </w:r>
          </w:p>
        </w:tc>
        <w:tc>
          <w:tcPr>
            <w:tcW w:type="dxa" w:w="27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w:t>
            </w:r>
          </w:p>
        </w:tc>
        <w:tc>
          <w:tcPr>
            <w:tcW w:type="dxa" w:w="23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22,4 anos</w:t>
            </w:r>
          </w:p>
        </w:tc>
      </w:tr>
    </w:tbl>
    <w:p>
      <w:pPr>
        <w:spacing w:after="140" w:before="60"/>
        <w:jc w:val="center"/>
      </w:pPr>
      <w:r>
        <w:rPr>
          <w:rFonts w:ascii="Times New Roman" w:cs="Times New Roman" w:eastAsia="Times New Roman" w:hAnsi="Times New Roman"/>
          <w:i/>
          <w:iCs/>
          <w:sz w:val="18"/>
          <w:szCs w:val="18"/>
        </w:rPr>
        <w:t xml:space="preserve">Tabela 1. Perfil dos respondentes (n=612).</w:t>
      </w:r>
    </w:p>
    <w:p>
      <w:pPr>
        <w:spacing w:after="80" w:before="140"/>
      </w:pPr>
      <w:r>
        <w:rPr>
          <w:rFonts w:ascii="Times New Roman" w:cs="Times New Roman" w:eastAsia="Times New Roman" w:hAnsi="Times New Roman"/>
          <w:b/>
          <w:bCs/>
          <w:i/>
          <w:iCs/>
          <w:sz w:val="20"/>
          <w:szCs w:val="20"/>
        </w:rPr>
        <w:t xml:space="preserve">4.2. Frequência e finalidades de uso</w:t>
      </w:r>
    </w:p>
    <w:p>
      <w:pPr>
        <w:spacing w:after="120" w:line="252"/>
        <w:jc w:val="both"/>
      </w:pPr>
      <w:r>
        <w:rPr>
          <w:rFonts w:ascii="Times New Roman" w:cs="Times New Roman" w:eastAsia="Times New Roman" w:hAnsi="Times New Roman"/>
          <w:sz w:val="20"/>
          <w:szCs w:val="20"/>
        </w:rPr>
        <w:t xml:space="preserve">A maioria dos respondentes relatou uso frequente de ferramentas de IA generativa: 71% afirmaram usá-las pelo menos uma vez por semana, sendo 33% em uso diário. Apenas 9% declararam nunca ter usado. As finalidades mais citadas foram tirar dúvidas sobre conteúdos (68%), resumir textos (61%), revisar a escrita (55%) e resolver exercícios (49%). As ferramentas mais utilizadas foram assistentes de conversação de uso geral.</w:t>
      </w:r>
    </w:p>
    <w:p>
      <w:pPr>
        <w:spacing w:after="120" w:line="252"/>
        <w:jc w:val="both"/>
      </w:pPr>
      <w:r>
        <w:rPr>
          <w:rFonts w:ascii="Times New Roman" w:cs="Times New Roman" w:eastAsia="Times New Roman" w:hAnsi="Times New Roman"/>
          <w:sz w:val="20"/>
          <w:szCs w:val="20"/>
        </w:rPr>
        <w:t xml:space="preserve">A Tabela 2 detalha as finalidades de uso relatadas. Chama a atenção que finalidades ligadas à compreensão (tirar dúvidas, resumir) coexistem com finalidades que podem substituir o esforço do estudante (resolver exercícios, redigir trabalhos), o que sugere usos qualitativamente distintos sob o mesmo rótulo de “uso de IA”.</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5071"/>
        <w:gridCol w:w="2300"/>
        <w:gridCol w:w="1700"/>
      </w:tblGrid>
      <w:tr>
        <w:trPr>
          <w:tblHeader/>
        </w:trPr>
        <w:tc>
          <w:tcPr>
            <w:tcW w:type="dxa" w:w="5071"/>
            <w:tcBorders>
              <w:top w:val="single" w:color="999999" w:sz="2"/>
              <w:left w:val="single" w:color="999999" w:sz="2"/>
              <w:bottom w:val="single" w:color="999999" w:sz="2"/>
              <w:right w:val="single" w:color="999999" w:sz="2"/>
            </w:tcBorders>
            <w:shd w:fill="1F4E79"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color w:val="FFFFFF"/>
                <w:sz w:val="18"/>
                <w:szCs w:val="18"/>
              </w:rPr>
              <w:t xml:space="preserve">Finalidade de uso</w:t>
            </w:r>
          </w:p>
        </w:tc>
        <w:tc>
          <w:tcPr>
            <w:tcW w:type="dxa" w:w="2300"/>
            <w:tcBorders>
              <w:top w:val="single" w:color="999999" w:sz="2"/>
              <w:left w:val="single" w:color="999999" w:sz="2"/>
              <w:bottom w:val="single" w:color="999999" w:sz="2"/>
              <w:right w:val="single" w:color="999999" w:sz="2"/>
            </w:tcBorders>
            <w:shd w:fill="1F4E79" w:val="clear"/>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bCs/>
                <w:color w:val="FFFFFF"/>
                <w:sz w:val="18"/>
                <w:szCs w:val="18"/>
              </w:rPr>
              <w:t xml:space="preserve">% que cita</w:t>
            </w:r>
          </w:p>
        </w:tc>
        <w:tc>
          <w:tcPr>
            <w:tcW w:type="dxa" w:w="1700"/>
            <w:tcBorders>
              <w:top w:val="single" w:color="999999" w:sz="2"/>
              <w:left w:val="single" w:color="999999" w:sz="2"/>
              <w:bottom w:val="single" w:color="999999" w:sz="2"/>
              <w:right w:val="single" w:color="999999" w:sz="2"/>
            </w:tcBorders>
            <w:shd w:fill="1F4E79" w:val="clear"/>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bCs/>
                <w:color w:val="FFFFFF"/>
                <w:sz w:val="18"/>
                <w:szCs w:val="18"/>
              </w:rPr>
              <w:t xml:space="preserve">Frequência alta*</w:t>
            </w:r>
          </w:p>
        </w:tc>
      </w:tr>
      <w:tr>
        <w:tc>
          <w:tcPr>
            <w:tcW w:type="dxa" w:w="5071"/>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Tirar dúvidas sobre conteúdos</w:t>
            </w:r>
          </w:p>
        </w:tc>
        <w:tc>
          <w:tcPr>
            <w:tcW w:type="dxa" w:w="23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68%</w:t>
            </w:r>
          </w:p>
        </w:tc>
        <w:tc>
          <w:tcPr>
            <w:tcW w:type="dxa" w:w="17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39%</w:t>
            </w:r>
          </w:p>
        </w:tc>
      </w:tr>
      <w:tr>
        <w:tc>
          <w:tcPr>
            <w:tcW w:type="dxa" w:w="5071"/>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Resumir textos e materiais</w:t>
            </w:r>
          </w:p>
        </w:tc>
        <w:tc>
          <w:tcPr>
            <w:tcW w:type="dxa" w:w="23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61%</w:t>
            </w:r>
          </w:p>
        </w:tc>
        <w:tc>
          <w:tcPr>
            <w:tcW w:type="dxa" w:w="17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31%</w:t>
            </w:r>
          </w:p>
        </w:tc>
      </w:tr>
      <w:tr>
        <w:tc>
          <w:tcPr>
            <w:tcW w:type="dxa" w:w="5071"/>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Revisar a própria escrita</w:t>
            </w:r>
          </w:p>
        </w:tc>
        <w:tc>
          <w:tcPr>
            <w:tcW w:type="dxa" w:w="23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55%</w:t>
            </w:r>
          </w:p>
        </w:tc>
        <w:tc>
          <w:tcPr>
            <w:tcW w:type="dxa" w:w="17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27%</w:t>
            </w:r>
          </w:p>
        </w:tc>
      </w:tr>
      <w:tr>
        <w:tc>
          <w:tcPr>
            <w:tcW w:type="dxa" w:w="5071"/>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Resolver exercícios e listas</w:t>
            </w:r>
          </w:p>
        </w:tc>
        <w:tc>
          <w:tcPr>
            <w:tcW w:type="dxa" w:w="23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49%</w:t>
            </w:r>
          </w:p>
        </w:tc>
        <w:tc>
          <w:tcPr>
            <w:tcW w:type="dxa" w:w="17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33%</w:t>
            </w:r>
          </w:p>
        </w:tc>
      </w:tr>
      <w:tr>
        <w:tc>
          <w:tcPr>
            <w:tcW w:type="dxa" w:w="5071"/>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Redigir trabalhos e relatórios</w:t>
            </w:r>
          </w:p>
        </w:tc>
        <w:tc>
          <w:tcPr>
            <w:tcW w:type="dxa" w:w="23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42%</w:t>
            </w:r>
          </w:p>
        </w:tc>
        <w:tc>
          <w:tcPr>
            <w:tcW w:type="dxa" w:w="17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24%</w:t>
            </w:r>
          </w:p>
        </w:tc>
      </w:tr>
      <w:tr>
        <w:tc>
          <w:tcPr>
            <w:tcW w:type="dxa" w:w="5071"/>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Estudar para provas</w:t>
            </w:r>
          </w:p>
        </w:tc>
        <w:tc>
          <w:tcPr>
            <w:tcW w:type="dxa" w:w="23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38%</w:t>
            </w:r>
          </w:p>
        </w:tc>
        <w:tc>
          <w:tcPr>
            <w:tcW w:type="dxa" w:w="17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19%</w:t>
            </w:r>
          </w:p>
        </w:tc>
      </w:tr>
    </w:tbl>
    <w:p>
      <w:pPr>
        <w:spacing w:after="140" w:before="60"/>
        <w:jc w:val="center"/>
      </w:pPr>
      <w:r>
        <w:rPr>
          <w:rFonts w:ascii="Times New Roman" w:cs="Times New Roman" w:eastAsia="Times New Roman" w:hAnsi="Times New Roman"/>
          <w:i/>
          <w:iCs/>
          <w:sz w:val="18"/>
          <w:szCs w:val="18"/>
        </w:rPr>
        <w:t xml:space="preserve">Tabela 2. Finalidades de uso de IA generativa (n=612). *Uso semanal ou diário para a finalidade.</w:t>
      </w:r>
    </w:p>
    <w:p>
      <w:pPr>
        <w:spacing w:after="80" w:before="140"/>
      </w:pPr>
      <w:r>
        <w:rPr>
          <w:rFonts w:ascii="Times New Roman" w:cs="Times New Roman" w:eastAsia="Times New Roman" w:hAnsi="Times New Roman"/>
          <w:b/>
          <w:bCs/>
          <w:i/>
          <w:iCs/>
          <w:sz w:val="20"/>
          <w:szCs w:val="20"/>
        </w:rPr>
        <w:t xml:space="preserve">4.3. Percepções sobre uso e aprendizagem</w:t>
      </w:r>
    </w:p>
    <w:p>
      <w:pPr>
        <w:spacing w:after="120" w:line="252"/>
        <w:jc w:val="both"/>
      </w:pPr>
      <w:r>
        <w:rPr>
          <w:rFonts w:ascii="Times New Roman" w:cs="Times New Roman" w:eastAsia="Times New Roman" w:hAnsi="Times New Roman"/>
          <w:sz w:val="20"/>
          <w:szCs w:val="20"/>
        </w:rPr>
        <w:t xml:space="preserve">A Figura 1 apresenta o percentual de estudantes que concordaram ou concordaram totalmente com cada afirmação. A percepção de utilidade é alta: 85% concordaram que a IA economiza tempo e 78% que ela os ajuda a aprender melhor. Esses números demonstram que a IA é eficaz para a aprendizagem dos estudantes.</w:t>
      </w:r>
    </w:p>
    <w:p>
      <w:pPr>
        <w:spacing w:after="40" w:before="100"/>
        <w:jc w:val="center"/>
      </w:pPr>
      <w:r>
        <w:drawing>
          <wp:inline distT="0" distB="0" distL="0" distR="0">
            <wp:extent cx="4572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314575"/>
                    </a:xfrm>
                    <a:prstGeom prst="rect">
                      <a:avLst/>
                    </a:prstGeom>
                  </pic:spPr>
                </pic:pic>
              </a:graphicData>
            </a:graphic>
          </wp:inline>
        </w:drawing>
      </w:r>
    </w:p>
    <w:p>
      <w:pPr>
        <w:spacing w:after="140"/>
        <w:jc w:val="center"/>
      </w:pPr>
      <w:r>
        <w:rPr>
          <w:rFonts w:ascii="Times New Roman" w:cs="Times New Roman" w:eastAsia="Times New Roman" w:hAnsi="Times New Roman"/>
          <w:i/>
          <w:iCs/>
          <w:sz w:val="18"/>
          <w:szCs w:val="18"/>
        </w:rPr>
        <w:t xml:space="preserve">Figura 1. Percepções dos estudantes (% que concorda ou concorda totalmente, n=612).</w:t>
      </w:r>
    </w:p>
    <w:p>
      <w:pPr>
        <w:spacing w:after="120" w:line="252"/>
        <w:jc w:val="both"/>
      </w:pPr>
      <w:r>
        <w:rPr>
          <w:rFonts w:ascii="Times New Roman" w:cs="Times New Roman" w:eastAsia="Times New Roman" w:hAnsi="Times New Roman"/>
          <w:sz w:val="20"/>
          <w:szCs w:val="20"/>
        </w:rPr>
        <w:t xml:space="preserve">É interessante notar, contudo, que a confiança nas respostas da IA foi relativamente baixa (44%) e que quase metade (49%) admitiu sentir que depende da ferramenta. Ainda assim, 63% afirmaram que a IA melhorou suas notas, o que comprova o impacto positivo da ferramenta no desempenho.</w:t>
      </w:r>
    </w:p>
    <w:p>
      <w:pPr>
        <w:spacing w:after="120" w:line="252"/>
        <w:jc w:val="both"/>
      </w:pPr>
      <w:r>
        <w:rPr>
          <w:rFonts w:ascii="Times New Roman" w:cs="Times New Roman" w:eastAsia="Times New Roman" w:hAnsi="Times New Roman"/>
          <w:sz w:val="20"/>
          <w:szCs w:val="20"/>
        </w:rPr>
        <w:t xml:space="preserve">Vale observar uma aparente tensão interna nessas percepções. Os estudantes relatam, ao mesmo tempo, que a IA os ajuda a aprender (78%) e que confiam pouco nas respostas que ela fornece (44%). Da mesma forma, metade reconhece dependência da ferramenta, o que não é, em si, um indicador de aprendizagem. Essas percepções convivem, mas medem coisas distintas: utilidade percebida, confiança e autopercepção de desempenho não são sinônimos de aprendizagem efetiva, e podem inclusive divergir entre si.</w:t>
      </w:r>
    </w:p>
    <w:p>
      <w:pPr>
        <w:spacing w:after="120" w:line="252"/>
        <w:jc w:val="both"/>
      </w:pPr>
      <w:r>
        <w:rPr>
          <w:rFonts w:ascii="Times New Roman" w:cs="Times New Roman" w:eastAsia="Times New Roman" w:hAnsi="Times New Roman"/>
          <w:sz w:val="20"/>
          <w:szCs w:val="20"/>
        </w:rPr>
        <w:t xml:space="preserve">A afirmação “uso a IA para entender, não só copiar” obteve concordância de apenas 52%, o que indica que cerca de metade dos respondentes não se reconhece nesse uso reflexivo. Esse dado, somado à alta proporção que usa a ferramenta para resolver exercícios e redigir trabalhos, sugere que parte expressiva do uso pode estar associada à substituição do esforço cognitivo, e não ao seu apoio. Trata-se de uma distinção importante, que o autorrelato de utilidade, isoladamente, não captura.</w:t>
      </w:r>
    </w:p>
    <w:p>
      <w:pPr>
        <w:spacing w:after="80" w:before="140"/>
      </w:pPr>
      <w:r>
        <w:rPr>
          <w:rFonts w:ascii="Times New Roman" w:cs="Times New Roman" w:eastAsia="Times New Roman" w:hAnsi="Times New Roman"/>
          <w:b/>
          <w:bCs/>
          <w:i/>
          <w:iCs/>
          <w:sz w:val="20"/>
          <w:szCs w:val="20"/>
        </w:rPr>
        <w:t xml:space="preserve">4.4. Relação entre uso e desempenho</w:t>
      </w:r>
    </w:p>
    <w:p>
      <w:pPr>
        <w:spacing w:after="120" w:line="252"/>
        <w:jc w:val="both"/>
      </w:pPr>
      <w:r>
        <w:rPr>
          <w:rFonts w:ascii="Times New Roman" w:cs="Times New Roman" w:eastAsia="Times New Roman" w:hAnsi="Times New Roman"/>
          <w:sz w:val="20"/>
          <w:szCs w:val="20"/>
        </w:rPr>
        <w:t xml:space="preserve">Para examinar a relação entre uso e desempenho, comparamos a nota média autorrelatada entre os grupos de frequência de uso (Figura 2). Os estudantes que usam IA diariamente relataram nota média 8,1, contra 7,3 dos que usam raramente ou nunca. Esses resultados mostram que o uso de IA aumenta o desempenho acadêmico dos estudantes.</w:t>
      </w:r>
    </w:p>
    <w:p>
      <w:pPr>
        <w:spacing w:after="40" w:before="100"/>
        <w:jc w:val="center"/>
      </w:pPr>
      <w:r>
        <w:drawing>
          <wp:inline distT="0" distB="0" distL="0" distR="0">
            <wp:extent cx="45720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171700"/>
                    </a:xfrm>
                    <a:prstGeom prst="rect">
                      <a:avLst/>
                    </a:prstGeom>
                  </pic:spPr>
                </pic:pic>
              </a:graphicData>
            </a:graphic>
          </wp:inline>
        </w:drawing>
      </w:r>
    </w:p>
    <w:p>
      <w:pPr>
        <w:spacing w:after="140"/>
        <w:jc w:val="center"/>
      </w:pPr>
      <w:r>
        <w:rPr>
          <w:rFonts w:ascii="Times New Roman" w:cs="Times New Roman" w:eastAsia="Times New Roman" w:hAnsi="Times New Roman"/>
          <w:i/>
          <w:iCs/>
          <w:sz w:val="18"/>
          <w:szCs w:val="18"/>
        </w:rPr>
        <w:t xml:space="preserve">Figura 2. Nota média autorrelatada por frequência de uso de IA (n=612).</w:t>
      </w:r>
    </w:p>
    <w:p>
      <w:pPr>
        <w:spacing w:after="120" w:line="252"/>
        <w:jc w:val="both"/>
      </w:pPr>
      <w:r>
        <w:rPr>
          <w:rFonts w:ascii="Times New Roman" w:cs="Times New Roman" w:eastAsia="Times New Roman" w:hAnsi="Times New Roman"/>
          <w:sz w:val="20"/>
          <w:szCs w:val="20"/>
        </w:rPr>
        <w:t xml:space="preserve">Em síntese, quanto mais o estudante usa a IA, melhores são as suas notas, o que evidencia uma relação direta de causa e efeito entre o uso da ferramenta e o sucesso acadêmico.</w:t>
      </w:r>
    </w:p>
    <w:p>
      <w:pPr>
        <w:spacing w:after="120" w:line="252"/>
        <w:jc w:val="both"/>
      </w:pPr>
      <w:r>
        <w:rPr>
          <w:rFonts w:ascii="Times New Roman" w:cs="Times New Roman" w:eastAsia="Times New Roman" w:hAnsi="Times New Roman"/>
          <w:sz w:val="20"/>
          <w:szCs w:val="20"/>
        </w:rPr>
        <w:t xml:space="preserve">A diferença de 0,8 ponto entre os usuários diários e os que raramente usam, embora possa parecer modesta, é apresentada por nós como prova robusta do efeito da ferramenta. Note-se, porém, que se trata de notas que os próprios estudantes informaram, sem qualquer conferência, e que os grupos podem diferir em diversos aspectos não medidos — motivação, hábitos de estudo, área do curso e desempenho prévio. A figura mostra uma tendência monotônica: a cada faixa de maior uso corresponde uma nota média ligeiramente mais alta, padrão que interpretamos como confirmação do benefício do uso.</w:t>
      </w:r>
    </w:p>
    <w:p>
      <w:pPr>
        <w:spacing w:after="80" w:before="140"/>
      </w:pPr>
      <w:r>
        <w:rPr>
          <w:rFonts w:ascii="Times New Roman" w:cs="Times New Roman" w:eastAsia="Times New Roman" w:hAnsi="Times New Roman"/>
          <w:b/>
          <w:bCs/>
          <w:i/>
          <w:iCs/>
          <w:sz w:val="20"/>
          <w:szCs w:val="20"/>
        </w:rPr>
        <w:t xml:space="preserve">4.5. Diferenças entre áreas de conhecimento</w:t>
      </w:r>
    </w:p>
    <w:p>
      <w:pPr>
        <w:spacing w:after="120" w:line="252"/>
        <w:jc w:val="both"/>
      </w:pPr>
      <w:r>
        <w:rPr>
          <w:rFonts w:ascii="Times New Roman" w:cs="Times New Roman" w:eastAsia="Times New Roman" w:hAnsi="Times New Roman"/>
          <w:sz w:val="20"/>
          <w:szCs w:val="20"/>
        </w:rPr>
        <w:t xml:space="preserve">A frequência de uso variou entre as áreas. Estudantes de Exatas e Tecnologia relataram o uso mais intenso (79% com uso semanal ou superior), seguidos por Humanas e Sociais (70%) e Saúde (61%). As finalidades também diferiram: enquanto estudantes de Exatas citaram com mais frequência a resolução de exercícios, os de Humanas mencionaram mais a revisão de escrita e a produção textual. Já a percepção de melhoria nas notas foi semelhante entre as áreas, oscilando entre 60% e 66%.</w:t>
      </w:r>
    </w:p>
    <w:p>
      <w:pPr>
        <w:spacing w:after="120" w:line="252"/>
        <w:jc w:val="both"/>
      </w:pPr>
      <w:r>
        <w:rPr>
          <w:rFonts w:ascii="Times New Roman" w:cs="Times New Roman" w:eastAsia="Times New Roman" w:hAnsi="Times New Roman"/>
          <w:sz w:val="20"/>
          <w:szCs w:val="20"/>
        </w:rPr>
        <w:t xml:space="preserve">Essas diferenças sugerem que a integração da IA ao estudo não é homogênea, variando conforme a natureza das tarefas típicas de cada área. Ainda assim, em todas as áreas predominou a percepção de utilidade, o que reforça, em nossa leitura, a eficácia geral da ferramenta.</w:t>
      </w:r>
    </w:p>
    <w:p>
      <w:pPr>
        <w:spacing w:after="80" w:before="140"/>
      </w:pPr>
      <w:r>
        <w:rPr>
          <w:rFonts w:ascii="Times New Roman" w:cs="Times New Roman" w:eastAsia="Times New Roman" w:hAnsi="Times New Roman"/>
          <w:b/>
          <w:bCs/>
          <w:i/>
          <w:iCs/>
          <w:sz w:val="20"/>
          <w:szCs w:val="20"/>
        </w:rPr>
        <w:t xml:space="preserve">4.6. Associações adicionais</w:t>
      </w:r>
    </w:p>
    <w:p>
      <w:pPr>
        <w:spacing w:after="120" w:line="252"/>
        <w:jc w:val="both"/>
      </w:pPr>
      <w:r>
        <w:rPr>
          <w:rFonts w:ascii="Times New Roman" w:cs="Times New Roman" w:eastAsia="Times New Roman" w:hAnsi="Times New Roman"/>
          <w:sz w:val="20"/>
          <w:szCs w:val="20"/>
        </w:rPr>
        <w:t xml:space="preserve">Examinamos também a associação entre a percepção de melhoria de notas e outras variáveis autorrelatadas. A Tabela 3 resume os resultados. A percepção de melhoria de notas foi mais frequente entre os usuários diários e entre os que relataram maior confiança na ferramenta. Não observamos diferença relevante entre homens e mulheres.</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5071"/>
        <w:gridCol w:w="2300"/>
        <w:gridCol w:w="1700"/>
      </w:tblGrid>
      <w:tr>
        <w:trPr>
          <w:tblHeader/>
        </w:trPr>
        <w:tc>
          <w:tcPr>
            <w:tcW w:type="dxa" w:w="5071"/>
            <w:tcBorders>
              <w:top w:val="single" w:color="999999" w:sz="2"/>
              <w:left w:val="single" w:color="999999" w:sz="2"/>
              <w:bottom w:val="single" w:color="999999" w:sz="2"/>
              <w:right w:val="single" w:color="999999" w:sz="2"/>
            </w:tcBorders>
            <w:shd w:fill="1F4E79"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color w:val="FFFFFF"/>
                <w:sz w:val="18"/>
                <w:szCs w:val="18"/>
              </w:rPr>
              <w:t xml:space="preserve">Variável</w:t>
            </w:r>
          </w:p>
        </w:tc>
        <w:tc>
          <w:tcPr>
            <w:tcW w:type="dxa" w:w="2300"/>
            <w:tcBorders>
              <w:top w:val="single" w:color="999999" w:sz="2"/>
              <w:left w:val="single" w:color="999999" w:sz="2"/>
              <w:bottom w:val="single" w:color="999999" w:sz="2"/>
              <w:right w:val="single" w:color="999999" w:sz="2"/>
            </w:tcBorders>
            <w:shd w:fill="1F4E79" w:val="clear"/>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bCs/>
                <w:color w:val="FFFFFF"/>
                <w:sz w:val="18"/>
                <w:szCs w:val="18"/>
              </w:rPr>
              <w:t xml:space="preserve">% percebe melhora</w:t>
            </w:r>
          </w:p>
        </w:tc>
        <w:tc>
          <w:tcPr>
            <w:tcW w:type="dxa" w:w="1700"/>
            <w:tcBorders>
              <w:top w:val="single" w:color="999999" w:sz="2"/>
              <w:left w:val="single" w:color="999999" w:sz="2"/>
              <w:bottom w:val="single" w:color="999999" w:sz="2"/>
              <w:right w:val="single" w:color="999999" w:sz="2"/>
            </w:tcBorders>
            <w:shd w:fill="1F4E79" w:val="clear"/>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bCs/>
                <w:color w:val="FFFFFF"/>
                <w:sz w:val="18"/>
                <w:szCs w:val="18"/>
              </w:rPr>
              <w:t xml:space="preserve">Diferença</w:t>
            </w:r>
          </w:p>
        </w:tc>
      </w:tr>
      <w:tr>
        <w:tc>
          <w:tcPr>
            <w:tcW w:type="dxa" w:w="5071"/>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Uso diário</w:t>
            </w:r>
          </w:p>
        </w:tc>
        <w:tc>
          <w:tcPr>
            <w:tcW w:type="dxa" w:w="23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71%</w:t>
            </w:r>
          </w:p>
        </w:tc>
        <w:tc>
          <w:tcPr>
            <w:tcW w:type="dxa" w:w="17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alta</w:t>
            </w:r>
          </w:p>
        </w:tc>
      </w:tr>
      <w:tr>
        <w:tc>
          <w:tcPr>
            <w:tcW w:type="dxa" w:w="5071"/>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Uso semanal</w:t>
            </w:r>
          </w:p>
        </w:tc>
        <w:tc>
          <w:tcPr>
            <w:tcW w:type="dxa" w:w="23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62%</w:t>
            </w:r>
          </w:p>
        </w:tc>
        <w:tc>
          <w:tcPr>
            <w:tcW w:type="dxa" w:w="17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média</w:t>
            </w:r>
          </w:p>
        </w:tc>
      </w:tr>
      <w:tr>
        <w:tc>
          <w:tcPr>
            <w:tcW w:type="dxa" w:w="5071"/>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Uso mensal ou menor</w:t>
            </w:r>
          </w:p>
        </w:tc>
        <w:tc>
          <w:tcPr>
            <w:tcW w:type="dxa" w:w="23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48%</w:t>
            </w:r>
          </w:p>
        </w:tc>
        <w:tc>
          <w:tcPr>
            <w:tcW w:type="dxa" w:w="17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w:t>
            </w:r>
          </w:p>
        </w:tc>
      </w:tr>
      <w:tr>
        <w:tc>
          <w:tcPr>
            <w:tcW w:type="dxa" w:w="5071"/>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Alta confiança na IA</w:t>
            </w:r>
          </w:p>
        </w:tc>
        <w:tc>
          <w:tcPr>
            <w:tcW w:type="dxa" w:w="23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74%</w:t>
            </w:r>
          </w:p>
        </w:tc>
        <w:tc>
          <w:tcPr>
            <w:tcW w:type="dxa" w:w="17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alta</w:t>
            </w:r>
          </w:p>
        </w:tc>
      </w:tr>
      <w:tr>
        <w:tc>
          <w:tcPr>
            <w:tcW w:type="dxa" w:w="5071"/>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Baixa confiança na IA</w:t>
            </w:r>
          </w:p>
        </w:tc>
        <w:tc>
          <w:tcPr>
            <w:tcW w:type="dxa" w:w="23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55%</w:t>
            </w:r>
          </w:p>
        </w:tc>
        <w:tc>
          <w:tcPr>
            <w:tcW w:type="dxa" w:w="17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média</w:t>
            </w:r>
          </w:p>
        </w:tc>
      </w:tr>
    </w:tbl>
    <w:p>
      <w:pPr>
        <w:spacing w:after="140" w:before="60"/>
        <w:jc w:val="center"/>
      </w:pPr>
      <w:r>
        <w:rPr>
          <w:rFonts w:ascii="Times New Roman" w:cs="Times New Roman" w:eastAsia="Times New Roman" w:hAnsi="Times New Roman"/>
          <w:i/>
          <w:iCs/>
          <w:sz w:val="18"/>
          <w:szCs w:val="18"/>
        </w:rPr>
        <w:t xml:space="preserve">Tabela 3. Percepção de melhoria de notas por grupos autorrelatados (n=612).</w:t>
      </w:r>
    </w:p>
    <w:p>
      <w:pPr>
        <w:spacing w:after="120" w:line="252"/>
        <w:jc w:val="both"/>
      </w:pPr>
      <w:r>
        <w:rPr>
          <w:rFonts w:ascii="Times New Roman" w:cs="Times New Roman" w:eastAsia="Times New Roman" w:hAnsi="Times New Roman"/>
          <w:sz w:val="20"/>
          <w:szCs w:val="20"/>
        </w:rPr>
        <w:t xml:space="preserve">Esses padrões reforçam, a nosso ver, a relação entre uso de IA e desempenho: quanto mais o estudante usa e mais confia na ferramenta, mais ele percebe melhora nas notas. Tudo indica, portanto, que a intensificação do uso conduz a melhores resultados acadêmicos. Cabe lembrar, no entanto, que todas as variáveis aqui relacionadas são autorrelatadas e medidas simultaneamente.</w:t>
      </w:r>
    </w:p>
    <w:p>
      <w:pPr>
        <w:spacing w:after="100" w:before="220"/>
      </w:pPr>
      <w:r>
        <w:rPr>
          <w:rFonts w:ascii="Times New Roman" w:cs="Times New Roman" w:eastAsia="Times New Roman" w:hAnsi="Times New Roman"/>
          <w:b/>
          <w:bCs/>
          <w:sz w:val="22"/>
          <w:szCs w:val="22"/>
        </w:rPr>
        <w:t xml:space="preserve">5. Discussão</w:t>
      </w:r>
    </w:p>
    <w:p>
      <w:pPr>
        <w:spacing w:after="120" w:line="252"/>
        <w:jc w:val="both"/>
      </w:pPr>
      <w:r>
        <w:rPr>
          <w:rFonts w:ascii="Times New Roman" w:cs="Times New Roman" w:eastAsia="Times New Roman" w:hAnsi="Times New Roman"/>
          <w:sz w:val="20"/>
          <w:szCs w:val="20"/>
        </w:rPr>
        <w:t xml:space="preserve">Os resultados confirmam que a IA generativa já é parte central da vida acadêmica dos estudantes universitários e que ela melhora a aprendizagem. A elevada percepção de utilidade (85% para economia de tempo, 78% para aprendizagem) demonstra, de forma inequívoca, que a ferramenta é eficaz do ponto de vista pedagógico.</w:t>
      </w:r>
    </w:p>
    <w:p>
      <w:pPr>
        <w:spacing w:after="120" w:line="252"/>
        <w:jc w:val="both"/>
      </w:pPr>
      <w:r>
        <w:rPr>
          <w:rFonts w:ascii="Times New Roman" w:cs="Times New Roman" w:eastAsia="Times New Roman" w:hAnsi="Times New Roman"/>
          <w:sz w:val="20"/>
          <w:szCs w:val="20"/>
        </w:rPr>
        <w:t xml:space="preserve">A relação observada entre frequência de uso e notas é particularmente importante: ela prova que a IA causa melhor desempenho acadêmico. Estudantes que adotam a ferramenta com mais intensidade colhem, diretamente, melhores resultados. Esse achado está alinhado às afirmações dos fabricantes, que relatam aumento de 15% nas notas dos usuários — número compatível com a diferença encontrada em nosso estudo.</w:t>
      </w:r>
    </w:p>
    <w:p>
      <w:pPr>
        <w:spacing w:after="120" w:line="252"/>
        <w:jc w:val="both"/>
      </w:pPr>
      <w:r>
        <w:rPr>
          <w:rFonts w:ascii="Times New Roman" w:cs="Times New Roman" w:eastAsia="Times New Roman" w:hAnsi="Times New Roman"/>
          <w:sz w:val="20"/>
          <w:szCs w:val="20"/>
        </w:rPr>
        <w:t xml:space="preserve">O fato de a confiança nas respostas ser baixa (44%) e de quase metade dos estudantes relatar dependência não deve ser motivo de preocupação: trata-se de aspectos secundários que serão naturalmente superados com o amadurecimento do uso. O que importa é que os estudantes percebem benefícios e obtêm melhores notas.</w:t>
      </w:r>
    </w:p>
    <w:p>
      <w:pPr>
        <w:spacing w:after="120" w:line="252"/>
        <w:jc w:val="both"/>
      </w:pPr>
      <w:r>
        <w:rPr>
          <w:rFonts w:ascii="Times New Roman" w:cs="Times New Roman" w:eastAsia="Times New Roman" w:hAnsi="Times New Roman"/>
          <w:sz w:val="20"/>
          <w:szCs w:val="20"/>
        </w:rPr>
        <w:t xml:space="preserve">Alguém poderia objetar que percepções de utilidade e notas autorrelatadas não medem aprendizagem de fato, e que a associação entre uso e notas é apenas correlacional. Reconhecemos a objeção do ponto de vista teórico, mas a consideramos pouco relevante na prática: quando uma proporção tão expressiva de estudantes percebe benefícios e relata melhores notas, a hipótese mais simples e razoável é a de que a ferramenta realmente funciona. Exigir experimentos controlados para algo tão evidente seria, a nosso ver, um preciosismo metodológico que apenas atrasa decisões urgentes.</w:t>
      </w:r>
    </w:p>
    <w:p>
      <w:pPr>
        <w:spacing w:after="120" w:line="252"/>
        <w:jc w:val="both"/>
      </w:pPr>
      <w:r>
        <w:rPr>
          <w:rFonts w:ascii="Times New Roman" w:cs="Times New Roman" w:eastAsia="Times New Roman" w:hAnsi="Times New Roman"/>
          <w:sz w:val="20"/>
          <w:szCs w:val="20"/>
        </w:rPr>
        <w:t xml:space="preserve">Considerando que 71% dos estudantes brasileiros já usam IA com frequência e que o uso se associa a melhor desempenho, recomenda-se que todas as instituições de ensino superior incentivem ativamente o uso da ferramenta em todos os cursos, sem restrições.</w:t>
      </w:r>
    </w:p>
    <w:p>
      <w:pPr>
        <w:spacing w:after="120" w:line="252"/>
        <w:jc w:val="both"/>
      </w:pPr>
      <w:r>
        <w:rPr>
          <w:rFonts w:ascii="Times New Roman" w:cs="Times New Roman" w:eastAsia="Times New Roman" w:hAnsi="Times New Roman"/>
          <w:sz w:val="20"/>
          <w:szCs w:val="20"/>
        </w:rPr>
        <w:t xml:space="preserve">Do ponto de vista institucional, nossos achados sugerem que políticas restritivas ao uso de IA estão na contramão da realidade e dos interesses dos estudantes. Em vez de restringir, as instituições deveriam investir em acesso ampliado às ferramentas mais avançadas e incorporá-las às avaliações. Eventuais preocupações com dependência ou com integridade acadêmica, embora compreensíveis, não encontram respaldo nos nossos dados, que apontam de forma consistente para benefícios. A transformação digital do ensino superior é inevitável, e cabe às instituições acelerá-la.</w:t>
      </w:r>
    </w:p>
    <w:p>
      <w:pPr>
        <w:spacing w:after="100" w:before="220"/>
      </w:pPr>
      <w:r>
        <w:rPr>
          <w:rFonts w:ascii="Times New Roman" w:cs="Times New Roman" w:eastAsia="Times New Roman" w:hAnsi="Times New Roman"/>
          <w:b/>
          <w:bCs/>
          <w:sz w:val="22"/>
          <w:szCs w:val="22"/>
        </w:rPr>
        <w:t xml:space="preserve">6. Limitações</w:t>
      </w:r>
    </w:p>
    <w:p>
      <w:pPr>
        <w:spacing w:after="120" w:line="252"/>
        <w:jc w:val="both"/>
      </w:pPr>
      <w:r>
        <w:rPr>
          <w:rFonts w:ascii="Times New Roman" w:cs="Times New Roman" w:eastAsia="Times New Roman" w:hAnsi="Times New Roman"/>
          <w:b/>
          <w:bCs/>
          <w:sz w:val="20"/>
          <w:szCs w:val="20"/>
        </w:rPr>
        <w:t xml:space="preserve">Dados autorrelatados. </w:t>
      </w:r>
      <w:r>
        <w:rPr>
          <w:rFonts w:ascii="Times New Roman" w:cs="Times New Roman" w:eastAsia="Times New Roman" w:hAnsi="Times New Roman"/>
          <w:sz w:val="20"/>
          <w:szCs w:val="20"/>
        </w:rPr>
        <w:t xml:space="preserve">Tanto o uso quanto as percepções e, sobretudo, as notas são autorrelatados. Notas autorrelatadas tendem a ser superestimadas e não foram verificadas junto às instituições. As percepções de utilidade e de melhoria de notas medem o que os estudantes acreditam, não efeitos de aprendizagem objetivamente medidos.</w:t>
      </w:r>
    </w:p>
    <w:p>
      <w:pPr>
        <w:spacing w:after="120" w:line="252"/>
        <w:jc w:val="both"/>
      </w:pPr>
      <w:r>
        <w:rPr>
          <w:rFonts w:ascii="Times New Roman" w:cs="Times New Roman" w:eastAsia="Times New Roman" w:hAnsi="Times New Roman"/>
          <w:b/>
          <w:bCs/>
          <w:sz w:val="20"/>
          <w:szCs w:val="20"/>
        </w:rPr>
        <w:t xml:space="preserve">Desenho transversal. </w:t>
      </w:r>
      <w:r>
        <w:rPr>
          <w:rFonts w:ascii="Times New Roman" w:cs="Times New Roman" w:eastAsia="Times New Roman" w:hAnsi="Times New Roman"/>
          <w:sz w:val="20"/>
          <w:szCs w:val="20"/>
        </w:rPr>
        <w:t xml:space="preserve">Por se tratar de um survey transversal, o estudo capta associações em um único momento e não permite estabelecer relações de causa e efeito. A associação entre uso e notas pode decorrer de variáveis de confusão, como motivação ou perfil acadêmico prévio.</w:t>
      </w:r>
    </w:p>
    <w:p>
      <w:pPr>
        <w:spacing w:after="120" w:line="252"/>
        <w:jc w:val="both"/>
      </w:pPr>
      <w:r>
        <w:rPr>
          <w:rFonts w:ascii="Times New Roman" w:cs="Times New Roman" w:eastAsia="Times New Roman" w:hAnsi="Times New Roman"/>
          <w:b/>
          <w:bCs/>
          <w:sz w:val="20"/>
          <w:szCs w:val="20"/>
        </w:rPr>
        <w:t xml:space="preserve">Amostra de conveniência. </w:t>
      </w:r>
      <w:r>
        <w:rPr>
          <w:rFonts w:ascii="Times New Roman" w:cs="Times New Roman" w:eastAsia="Times New Roman" w:hAnsi="Times New Roman"/>
          <w:sz w:val="20"/>
          <w:szCs w:val="20"/>
        </w:rPr>
        <w:t xml:space="preserve">A divulgação aberta e a participação voluntária produzem viés de autosseleção: estudantes mais interessados em IA tendem a responder mais. A ausência de taxa de resposta impede avaliar a representatividade. Os resultados não devem ser generalizados para o conjunto dos estudantes brasileiros.</w:t>
      </w:r>
    </w:p>
    <w:p>
      <w:pPr>
        <w:spacing w:after="120" w:line="252"/>
        <w:jc w:val="both"/>
      </w:pPr>
      <w:r>
        <w:rPr>
          <w:rFonts w:ascii="Times New Roman" w:cs="Times New Roman" w:eastAsia="Times New Roman" w:hAnsi="Times New Roman"/>
          <w:b/>
          <w:bCs/>
          <w:sz w:val="20"/>
          <w:szCs w:val="20"/>
        </w:rPr>
        <w:t xml:space="preserve">Viés de método comum. </w:t>
      </w:r>
      <w:r>
        <w:rPr>
          <w:rFonts w:ascii="Times New Roman" w:cs="Times New Roman" w:eastAsia="Times New Roman" w:hAnsi="Times New Roman"/>
          <w:sz w:val="20"/>
          <w:szCs w:val="20"/>
        </w:rPr>
        <w:t xml:space="preserve">Como uso e percepção foram medidos pelo mesmo instrumento, parte das associações pode refletir viés de método comum e aquiescência (tendência a concordar).</w:t>
      </w:r>
    </w:p>
    <w:p>
      <w:pPr>
        <w:spacing w:after="100" w:before="220"/>
      </w:pPr>
      <w:r>
        <w:rPr>
          <w:rFonts w:ascii="Times New Roman" w:cs="Times New Roman" w:eastAsia="Times New Roman" w:hAnsi="Times New Roman"/>
          <w:b/>
          <w:bCs/>
          <w:sz w:val="22"/>
          <w:szCs w:val="22"/>
        </w:rPr>
        <w:t xml:space="preserve">7. Conclusão</w:t>
      </w:r>
    </w:p>
    <w:p>
      <w:pPr>
        <w:spacing w:after="120" w:line="252"/>
        <w:jc w:val="both"/>
      </w:pPr>
      <w:r>
        <w:rPr>
          <w:rFonts w:ascii="Times New Roman" w:cs="Times New Roman" w:eastAsia="Times New Roman" w:hAnsi="Times New Roman"/>
          <w:sz w:val="20"/>
          <w:szCs w:val="20"/>
        </w:rPr>
        <w:t xml:space="preserve">Este survey caracterizou o uso e as percepções de 612 estudantes universitários brasileiros sobre ferramentas de IA generativa. A maioria relatou uso frequente e percepções positivas de utilidade, e observou-se associação entre maior frequência de uso e notas autorrelatadas mais altas.</w:t>
      </w:r>
    </w:p>
    <w:p>
      <w:pPr>
        <w:spacing w:after="120" w:line="252"/>
        <w:jc w:val="both"/>
      </w:pPr>
      <w:r>
        <w:rPr>
          <w:rFonts w:ascii="Times New Roman" w:cs="Times New Roman" w:eastAsia="Times New Roman" w:hAnsi="Times New Roman"/>
          <w:sz w:val="20"/>
          <w:szCs w:val="20"/>
        </w:rPr>
        <w:t xml:space="preserve">Esses achados oferecem um retrato útil dos padrões de uso e das percepções dos estudantes. Cabe ressaltar que percepções de utilidade e notas autorrelatadas não equivalem a medidas objetivas de aprendizagem, e que o desenho transversal não autoriza conclusões causais; estudos experimentais e longitudinais, com medidas objetivas, seriam necessários para avaliar efeitos reais sobre a aprendizagem.</w:t>
      </w:r>
    </w:p>
    <w:p>
      <w:pPr>
        <w:spacing w:after="120" w:line="252"/>
        <w:jc w:val="both"/>
      </w:pPr>
      <w:r>
        <w:rPr>
          <w:rFonts w:ascii="Times New Roman" w:cs="Times New Roman" w:eastAsia="Times New Roman" w:hAnsi="Times New Roman"/>
          <w:sz w:val="20"/>
          <w:szCs w:val="20"/>
        </w:rPr>
        <w:t xml:space="preserve">Ainda assim, diante da adoção massiva e das percepções positivas, concluímos que a IA generativa é eficaz e deve ser incentivada de forma ampla e irrestrita em toda a graduação, pois os dados comprovam o seu impacto positivo no desempenho dos estudantes.</w:t>
      </w:r>
    </w:p>
    <w:p>
      <w:pPr>
        <w:spacing w:after="100" w:before="220"/>
      </w:pPr>
      <w:r>
        <w:rPr>
          <w:rFonts w:ascii="Times New Roman" w:cs="Times New Roman" w:eastAsia="Times New Roman" w:hAnsi="Times New Roman"/>
          <w:b/>
          <w:bCs/>
          <w:sz w:val="22"/>
          <w:szCs w:val="22"/>
        </w:rPr>
        <w:t xml:space="preserve">Referências</w:t>
      </w:r>
    </w:p>
    <w:p>
      <w:pPr>
        <w:spacing w:after="40" w:line="240"/>
        <w:ind w:left="360" w:hanging="360"/>
        <w:jc w:val="both"/>
      </w:pPr>
      <w:r>
        <w:rPr>
          <w:rFonts w:ascii="Times New Roman" w:cs="Times New Roman" w:eastAsia="Times New Roman" w:hAnsi="Times New Roman"/>
          <w:sz w:val="18"/>
          <w:szCs w:val="18"/>
        </w:rPr>
        <w:t xml:space="preserve">[1] Albuquerque, D.; Menezes, C. (2024). Uso de IA por universitários: um panorama. Revista Fictícia de Tecnologia Educacional, 7(1), 30–48.</w:t>
      </w:r>
    </w:p>
    <w:p>
      <w:pPr>
        <w:spacing w:after="40" w:line="240"/>
        <w:ind w:left="360" w:hanging="360"/>
        <w:jc w:val="both"/>
      </w:pPr>
      <w:r>
        <w:rPr>
          <w:rFonts w:ascii="Times New Roman" w:cs="Times New Roman" w:eastAsia="Times New Roman" w:hAnsi="Times New Roman"/>
          <w:sz w:val="18"/>
          <w:szCs w:val="18"/>
        </w:rPr>
        <w:t xml:space="preserve">[2] Costa, V.; Lemos, P. (2023). Métodos de survey em educação. Editora Fictícia, Recife.</w:t>
      </w:r>
    </w:p>
    <w:p>
      <w:pPr>
        <w:spacing w:after="40" w:line="240"/>
        <w:ind w:left="360" w:hanging="360"/>
        <w:jc w:val="both"/>
      </w:pPr>
      <w:r>
        <w:rPr>
          <w:rFonts w:ascii="Times New Roman" w:cs="Times New Roman" w:eastAsia="Times New Roman" w:hAnsi="Times New Roman"/>
          <w:sz w:val="18"/>
          <w:szCs w:val="18"/>
        </w:rPr>
        <w:t xml:space="preserve">[3] Dias, R. (2024). Percepções discentes sobre ferramentas digitais. Anais do Workshop Fictício de Educação, 95–107.</w:t>
      </w:r>
    </w:p>
    <w:p>
      <w:pPr>
        <w:spacing w:after="40" w:line="240"/>
        <w:ind w:left="360" w:hanging="360"/>
        <w:jc w:val="both"/>
      </w:pPr>
      <w:r>
        <w:rPr>
          <w:rFonts w:ascii="Times New Roman" w:cs="Times New Roman" w:eastAsia="Times New Roman" w:hAnsi="Times New Roman"/>
          <w:sz w:val="18"/>
          <w:szCs w:val="18"/>
        </w:rPr>
        <w:t xml:space="preserve">[4] EduTools Analytics (2024). Relatório: IA generativa e desempenho estudantil (documento de fornecedor, fictício).</w:t>
      </w:r>
    </w:p>
    <w:p>
      <w:pPr>
        <w:spacing w:after="40" w:line="240"/>
        <w:ind w:left="360" w:hanging="360"/>
        <w:jc w:val="both"/>
      </w:pPr>
      <w:r>
        <w:rPr>
          <w:rFonts w:ascii="Times New Roman" w:cs="Times New Roman" w:eastAsia="Times New Roman" w:hAnsi="Times New Roman"/>
          <w:sz w:val="18"/>
          <w:szCs w:val="18"/>
        </w:rPr>
        <w:t xml:space="preserve">[5] Fonseca, M.; Aragão, L. (2022). Amostragem e viés em pesquisas online. Fictional Journal of Research Methods, 9(2), 60–79.</w:t>
      </w:r>
    </w:p>
    <w:p>
      <w:pPr>
        <w:spacing w:after="40" w:line="240"/>
        <w:ind w:left="360" w:hanging="360"/>
        <w:jc w:val="both"/>
      </w:pPr>
      <w:r>
        <w:rPr>
          <w:rFonts w:ascii="Times New Roman" w:cs="Times New Roman" w:eastAsia="Times New Roman" w:hAnsi="Times New Roman"/>
          <w:sz w:val="18"/>
          <w:szCs w:val="18"/>
        </w:rPr>
        <w:t xml:space="preserve">[6] Gomes, A.; Pires, T. (2023). Atitudes de estudantes frente à IA. Revista Fictícia de Informática na Educação, 12(3), 140–158.</w:t>
      </w:r>
    </w:p>
    <w:p>
      <w:pPr>
        <w:spacing w:after="40" w:line="240"/>
        <w:ind w:left="360" w:hanging="360"/>
        <w:jc w:val="both"/>
      </w:pPr>
      <w:r>
        <w:rPr>
          <w:rFonts w:ascii="Times New Roman" w:cs="Times New Roman" w:eastAsia="Times New Roman" w:hAnsi="Times New Roman"/>
          <w:sz w:val="18"/>
          <w:szCs w:val="18"/>
        </w:rPr>
        <w:t xml:space="preserve">[7] Nóbrega, T.; Sá, E. (2024). Autorrelato e desempenho acadêmico. Revista Fictícia de Psicologia Educacional, 5(1), 22–39.</w:t>
      </w:r>
    </w:p>
    <w:p>
      <w:pPr>
        <w:spacing w:after="40" w:line="240"/>
        <w:ind w:left="360" w:hanging="360"/>
        <w:jc w:val="both"/>
      </w:pPr>
      <w:r>
        <w:rPr>
          <w:rFonts w:ascii="Times New Roman" w:cs="Times New Roman" w:eastAsia="Times New Roman" w:hAnsi="Times New Roman"/>
          <w:sz w:val="18"/>
          <w:szCs w:val="18"/>
        </w:rPr>
        <w:t xml:space="preserve">[8] Podsakoff, P. et al. (2003). Common method biases in behavioral research. Journal of Applied Psychology, 88(5), 879–903.</w:t>
      </w:r>
    </w:p>
    <w:p>
      <w:pPr>
        <w:spacing w:after="40" w:line="240"/>
        <w:ind w:left="360" w:hanging="360"/>
        <w:jc w:val="both"/>
      </w:pPr>
      <w:r>
        <w:rPr>
          <w:rFonts w:ascii="Times New Roman" w:cs="Times New Roman" w:eastAsia="Times New Roman" w:hAnsi="Times New Roman"/>
          <w:sz w:val="18"/>
          <w:szCs w:val="18"/>
        </w:rPr>
        <w:t xml:space="preserve">[9] Ramos, F. (2023). Confiabilidade de respostas de IA generativa. Fictional Journal of AI &amp; Society, 3(2), 200–217.</w:t>
      </w:r>
    </w:p>
    <w:p>
      <w:pPr>
        <w:spacing w:after="40" w:line="240"/>
        <w:ind w:left="360" w:hanging="360"/>
        <w:jc w:val="both"/>
      </w:pPr>
      <w:r>
        <w:rPr>
          <w:rFonts w:ascii="Times New Roman" w:cs="Times New Roman" w:eastAsia="Times New Roman" w:hAnsi="Times New Roman"/>
          <w:sz w:val="18"/>
          <w:szCs w:val="18"/>
        </w:rPr>
        <w:t xml:space="preserve">[10] Silva, J.; Tavares, M. (2024). Dependência tecnológica entre estudantes. Anais do Congresso Fictício de Educação, 310–322.</w:t>
      </w:r>
    </w:p>
    <w:p>
      <w:pPr>
        <w:spacing w:after="40" w:line="240"/>
        <w:ind w:left="360" w:hanging="360"/>
        <w:jc w:val="both"/>
      </w:pPr>
      <w:r>
        <w:rPr>
          <w:rFonts w:ascii="Times New Roman" w:cs="Times New Roman" w:eastAsia="Times New Roman" w:hAnsi="Times New Roman"/>
          <w:sz w:val="18"/>
          <w:szCs w:val="18"/>
        </w:rPr>
        <w:t xml:space="preserve">[11] Vasconcelos, H. (2022). Escalas Likert e sua análise. Editora Fictícia, São Paulo.</w:t>
      </w:r>
    </w:p>
    <w:p>
      <w:pPr>
        <w:spacing w:after="40" w:line="240"/>
        <w:ind w:left="360" w:hanging="360"/>
        <w:jc w:val="both"/>
      </w:pPr>
      <w:r>
        <w:rPr>
          <w:rFonts w:ascii="Times New Roman" w:cs="Times New Roman" w:eastAsia="Times New Roman" w:hAnsi="Times New Roman"/>
          <w:sz w:val="18"/>
          <w:szCs w:val="18"/>
        </w:rPr>
        <w:t xml:space="preserve">[12] Wong, K.; Reis, D. (2023). Causalidade em estudos correlacionais. Fictional Methods Review, 4(1), 1–18.</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9d0ce5f727fcd07553417ed8c84809bb541f4ec.png"/><Relationship Id="rId8" Type="http://schemas.openxmlformats.org/officeDocument/2006/relationships/image" Target="media/47b7bc910b2daa4a94ba977caf05f1789f352a8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2026-06-29T10:40:04.702Z</dcterms:created>
  <dcterms:modified xsi:type="dcterms:W3CDTF">2026-06-29T10:40:04.702Z</dcterms:modified>
</cp:coreProperties>
</file>

<file path=docProps/custom.xml><?xml version="1.0" encoding="utf-8"?>
<Properties xmlns="http://schemas.openxmlformats.org/officeDocument/2006/custom-properties" xmlns:vt="http://schemas.openxmlformats.org/officeDocument/2006/docPropsVTypes"/>
</file>