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Predição de evasão estudantil com aprendizado de máquina a partir de dados de um ambiente virtual de aprendizagem</w:t>
      </w:r>
    </w:p>
    <w:p>
      <w:pPr>
        <w:spacing w:after="40"/>
        <w:jc w:val="center"/>
      </w:pPr>
      <w:r>
        <w:rPr>
          <w:rFonts w:ascii="Times New Roman" w:cs="Times New Roman" w:eastAsia="Times New Roman" w:hAnsi="Times New Roman"/>
          <w:sz w:val="22"/>
          <w:szCs w:val="22"/>
        </w:rPr>
        <w:t xml:space="preserve">Bruno L. Peçanha¹, Larissa M. Fontoura¹, Otávio Krause²</w:t>
      </w:r>
    </w:p>
    <w:p>
      <w:pPr>
        <w:spacing w:after="80"/>
        <w:jc w:val="center"/>
      </w:pPr>
      <w:r>
        <w:rPr>
          <w:rFonts w:ascii="Times New Roman" w:cs="Times New Roman" w:eastAsia="Times New Roman" w:hAnsi="Times New Roman"/>
          <w:sz w:val="18"/>
          <w:szCs w:val="18"/>
        </w:rPr>
        <w:t xml:space="preserve">¹Centro de Informática — Universidade do Litoral (UNILIT, instituição fictícia), Recife — PE — Brasil</w:t>
      </w:r>
    </w:p>
    <w:p>
      <w:pPr>
        <w:spacing w:after="80"/>
        <w:jc w:val="center"/>
      </w:pPr>
      <w:r>
        <w:rPr>
          <w:rFonts w:ascii="Times New Roman" w:cs="Times New Roman" w:eastAsia="Times New Roman" w:hAnsi="Times New Roman"/>
          <w:sz w:val="18"/>
          <w:szCs w:val="18"/>
        </w:rPr>
        <w:t xml:space="preserve">²Laboratório Fictício de Mineração de Dados Educacionais (LMDE) — Brasil</w:t>
      </w:r>
    </w:p>
    <w:p>
      <w:pPr>
        <w:spacing w:after="160"/>
        <w:jc w:val="center"/>
      </w:pPr>
      <w:r>
        <w:rPr>
          <w:rFonts w:ascii="Times New Roman" w:cs="Times New Roman" w:eastAsia="Times New Roman" w:hAnsi="Times New Roman"/>
          <w:i/>
          <w:iCs/>
          <w:sz w:val="18"/>
          <w:szCs w:val="18"/>
        </w:rPr>
        <w:t xml:space="preserve">Anais do Simpósio Fictício de Mineração de Dados Educacionais (SBMDE 2025) — artigo de conferência</w:t>
      </w:r>
    </w:p>
    <w:p>
      <w:pPr>
        <w:spacing w:after="120" w:line="240"/>
        <w:ind w:left="567" w:right="567"/>
        <w:jc w:val="both"/>
      </w:pPr>
      <w:r>
        <w:rPr>
          <w:rFonts w:ascii="Times New Roman" w:cs="Times New Roman" w:eastAsia="Times New Roman" w:hAnsi="Times New Roman"/>
          <w:b/>
          <w:bCs/>
          <w:sz w:val="18"/>
          <w:szCs w:val="18"/>
        </w:rPr>
        <w:t xml:space="preserve">Resumo. </w:t>
      </w:r>
      <w:r>
        <w:rPr>
          <w:rFonts w:ascii="Times New Roman" w:cs="Times New Roman" w:eastAsia="Times New Roman" w:hAnsi="Times New Roman"/>
          <w:sz w:val="18"/>
          <w:szCs w:val="18"/>
        </w:rPr>
        <w:t xml:space="preserve">A evasão estudantil é um dos maiores problemas da educação, e o aprendizado de máquina é a solução definitiva para combatê-la. Este trabalho desenvolve modelos preditivos de evasão a partir de dados de um ambiente virtual de aprendizagem (AVA), com 8.742 registros de estudantes. O melhor modelo (XGBoost) alcançou acurácia de 0,89 e AUC de 0,91, demonstrando altíssima precisão na previsão da evasão. As variáveis mais importantes foram o número de submissões e de logins, o que mostra que o desengajamento causa a evasão. Concluímos que o modelo elimina a evasão e deve ser adotado por todas as instituições de ensino.</w:t>
      </w:r>
    </w:p>
    <w:p>
      <w:pPr>
        <w:spacing w:after="120" w:line="240"/>
        <w:ind w:left="567" w:right="567"/>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i/>
          <w:iCs/>
          <w:sz w:val="18"/>
          <w:szCs w:val="18"/>
        </w:rPr>
        <w:t xml:space="preserve">This work develops machine-learning models to predict student dropout from virtual learning environment (VLE) data, using 8,742 student records. The best model (XGBoost) achieved 0.89 accuracy and 0.91 AUC.</w:t>
      </w:r>
    </w:p>
    <w:p>
      <w:pPr>
        <w:spacing w:after="200" w:line="220"/>
        <w:ind w:left="567" w:right="567"/>
        <w:jc w:val="both"/>
      </w:pPr>
      <w:r>
        <w:rPr>
          <w:rFonts w:ascii="Times New Roman" w:cs="Times New Roman" w:eastAsia="Times New Roman" w:hAnsi="Times New Roman"/>
          <w:i/>
          <w:iCs/>
          <w:color w:val="808080"/>
          <w:sz w:val="16"/>
          <w:szCs w:val="16"/>
        </w:rPr>
        <w:t xml:space="preserve">Nota: Artigo fictício, produzido para fins didáticos (exercício de extração de dados). Autores, dados, instituições e referências são ilustrativos. Texto auxiliado por LLM e revisado pelos autores.</w:t>
      </w:r>
    </w:p>
    <w:p>
      <w:pPr>
        <w:spacing w:after="100" w:before="220"/>
      </w:pPr>
      <w:r>
        <w:rPr>
          <w:rFonts w:ascii="Times New Roman" w:cs="Times New Roman" w:eastAsia="Times New Roman" w:hAnsi="Times New Roman"/>
          <w:b/>
          <w:bCs/>
          <w:sz w:val="22"/>
          <w:szCs w:val="22"/>
        </w:rPr>
        <w:t xml:space="preserve">1. Introdução</w:t>
      </w:r>
    </w:p>
    <w:p>
      <w:pPr>
        <w:spacing w:after="120" w:line="252"/>
        <w:jc w:val="both"/>
      </w:pPr>
      <w:r>
        <w:rPr>
          <w:rFonts w:ascii="Times New Roman" w:cs="Times New Roman" w:eastAsia="Times New Roman" w:hAnsi="Times New Roman"/>
          <w:sz w:val="20"/>
          <w:szCs w:val="20"/>
        </w:rPr>
        <w:t xml:space="preserve">A evasão estudantil é um dos maiores problemas enfrentados pelas instituições de ensino em todo o mundo. Além do impacto sobre a vida dos estudantes, ela representa perdas financeiras e sociais significativas. Identificar precocemente os estudantes em risco de evasão é, portanto, um objetivo relevante, e o aprendizado de máquina surge como a solução definitiva para esse desafio.</w:t>
      </w:r>
    </w:p>
    <w:p>
      <w:pPr>
        <w:spacing w:after="120" w:line="252"/>
        <w:jc w:val="both"/>
      </w:pPr>
      <w:r>
        <w:rPr>
          <w:rFonts w:ascii="Times New Roman" w:cs="Times New Roman" w:eastAsia="Times New Roman" w:hAnsi="Times New Roman"/>
          <w:sz w:val="20"/>
          <w:szCs w:val="20"/>
        </w:rPr>
        <w:t xml:space="preserve">Com a popularização dos ambientes virtuais de aprendizagem (AVAs), passou a existir uma enorme quantidade de dados sobre o comportamento dos estudantes: acessos, submissões, participação em fóruns, notas. Esses dados, quando analisados por algoritmos de aprendizado de máquina, permitem construir modelos capazes de prever quais estudantes tendem a evadir. A mineração de dados educacionais é uma área em franca expansão, e há amplo consenso de que ela transformará a gestão acadêmica.</w:t>
      </w:r>
    </w:p>
    <w:p>
      <w:pPr>
        <w:spacing w:after="120" w:line="252"/>
        <w:jc w:val="both"/>
      </w:pPr>
      <w:r>
        <w:rPr>
          <w:rFonts w:ascii="Times New Roman" w:cs="Times New Roman" w:eastAsia="Times New Roman" w:hAnsi="Times New Roman"/>
          <w:sz w:val="20"/>
          <w:szCs w:val="20"/>
        </w:rPr>
        <w:t xml:space="preserve">Convém, desde já, distinguir três coisas que são frequentemente confundidas neste tipo de estudo. A primeira é o desempenho preditivo do modelo, medido por métricas estatísticas. A segunda é a explicação do fenômeno: saber quais fatores efetivamente causam a evasão. A terceira é o impacto: saber se agir a partir das predições realmente reduz a evasão. São questões distintas, que exigem evidências distintas. Um modelo pode prever bem sem explicar nada, e pode explicar sem que ninguém tenha demonstrado que intervir com base nele faça diferença. Voltaremos a esses pontos ao discutir os resultados.</w:t>
      </w:r>
    </w:p>
    <w:p>
      <w:pPr>
        <w:spacing w:after="120" w:line="252"/>
        <w:jc w:val="both"/>
      </w:pPr>
      <w:r>
        <w:rPr>
          <w:rFonts w:ascii="Times New Roman" w:cs="Times New Roman" w:eastAsia="Times New Roman" w:hAnsi="Times New Roman"/>
          <w:sz w:val="20"/>
          <w:szCs w:val="20"/>
        </w:rPr>
        <w:t xml:space="preserve">Neste trabalho, desenvolvemos e comparamos modelos de aprendizado de máquina para prever a evasão estudantil a partir de dados de um AVA. Nosso objetivo é identificar o modelo com melhor desempenho preditivo e as variáveis mais relevantes para a predição. As questões que orientam o estudo são: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4E79" w:sz="2"/>
              <w:left w:val="single" w:color="1F4E79" w:sz="18"/>
              <w:bottom w:val="single" w:color="1F4E79" w:sz="2"/>
              <w:right w:val="single" w:color="1F4E79" w:sz="2"/>
            </w:tcBorders>
            <w:shd w:fill="EAF1F8" w:val="clear"/>
            <w:tcMar>
              <w:top w:type="dxa" w:w="120"/>
              <w:left w:type="dxa" w:w="160"/>
              <w:bottom w:type="dxa" w:w="120"/>
              <w:right w:type="dxa" w:w="160"/>
            </w:tcMar>
          </w:tcPr>
          <w:p>
            <w:pPr>
              <w:spacing w:after="60" w:line="240"/>
              <w:jc w:val="both"/>
            </w:pPr>
            <w:r>
              <w:rPr>
                <w:rFonts w:ascii="Times New Roman" w:cs="Times New Roman" w:eastAsia="Times New Roman" w:hAnsi="Times New Roman"/>
                <w:b/>
                <w:bCs/>
                <w:color w:val="1F4E79"/>
                <w:sz w:val="20"/>
                <w:szCs w:val="20"/>
              </w:rPr>
              <w:t xml:space="preserve">QP1. </w:t>
            </w:r>
            <w:r>
              <w:rPr>
                <w:rFonts w:ascii="Times New Roman" w:cs="Times New Roman" w:eastAsia="Times New Roman" w:hAnsi="Times New Roman"/>
                <w:sz w:val="20"/>
                <w:szCs w:val="20"/>
              </w:rPr>
              <w:t xml:space="preserve">Qual o desempenho de diferentes algoritmos de aprendizado de máquina na predição de evasão estudantil a partir de dados de um AVA?</w:t>
            </w:r>
          </w:p>
          <w:p>
            <w:pPr>
              <w:spacing w:after="0" w:line="240"/>
              <w:jc w:val="both"/>
            </w:pPr>
            <w:r>
              <w:rPr>
                <w:rFonts w:ascii="Times New Roman" w:cs="Times New Roman" w:eastAsia="Times New Roman" w:hAnsi="Times New Roman"/>
                <w:b/>
                <w:bCs/>
                <w:color w:val="1F4E79"/>
                <w:sz w:val="20"/>
                <w:szCs w:val="20"/>
              </w:rPr>
              <w:t xml:space="preserve">QP2. </w:t>
            </w:r>
            <w:r>
              <w:rPr>
                <w:rFonts w:ascii="Times New Roman" w:cs="Times New Roman" w:eastAsia="Times New Roman" w:hAnsi="Times New Roman"/>
                <w:sz w:val="20"/>
                <w:szCs w:val="20"/>
              </w:rPr>
              <w:t xml:space="preserve">Quais variáveis são mais importantes para a predição da evasão?</w:t>
            </w:r>
          </w:p>
        </w:tc>
      </w:tr>
    </w:tbl>
    <w:p>
      <w:pPr>
        <w:spacing w:after="120" w:line="252"/>
        <w:jc w:val="both"/>
      </w:pPr>
      <w:r>
        <w:rPr>
          <w:rFonts w:ascii="Times New Roman" w:cs="Times New Roman" w:eastAsia="Times New Roman" w:hAnsi="Times New Roman"/>
          <w:sz w:val="20"/>
          <w:szCs w:val="20"/>
        </w:rPr>
        <w:t xml:space="preserve">O restante do artigo apresenta os trabalhos relacionados (Seção 2), o método (Seção 3), os resultados (Seção 4), a discussão (Seção 5), as limitações (Seção 6) e a conclusão (Seção 7).</w:t>
      </w:r>
    </w:p>
    <w:p>
      <w:pPr>
        <w:spacing w:after="100" w:before="220"/>
      </w:pPr>
      <w:r>
        <w:rPr>
          <w:rFonts w:ascii="Times New Roman" w:cs="Times New Roman" w:eastAsia="Times New Roman" w:hAnsi="Times New Roman"/>
          <w:b/>
          <w:bCs/>
          <w:sz w:val="22"/>
          <w:szCs w:val="22"/>
        </w:rPr>
        <w:t xml:space="preserve">2. Trabalhos relacionados</w:t>
      </w:r>
    </w:p>
    <w:p>
      <w:pPr>
        <w:spacing w:after="80" w:before="140"/>
      </w:pPr>
      <w:r>
        <w:rPr>
          <w:rFonts w:ascii="Times New Roman" w:cs="Times New Roman" w:eastAsia="Times New Roman" w:hAnsi="Times New Roman"/>
          <w:b/>
          <w:bCs/>
          <w:i/>
          <w:iCs/>
          <w:sz w:val="20"/>
          <w:szCs w:val="20"/>
        </w:rPr>
        <w:t xml:space="preserve">2.1. Mineração de dados educacionais e predição de evasão</w:t>
      </w:r>
    </w:p>
    <w:p>
      <w:pPr>
        <w:spacing w:after="120" w:line="252"/>
        <w:jc w:val="both"/>
      </w:pPr>
      <w:r>
        <w:rPr>
          <w:rFonts w:ascii="Times New Roman" w:cs="Times New Roman" w:eastAsia="Times New Roman" w:hAnsi="Times New Roman"/>
          <w:sz w:val="20"/>
          <w:szCs w:val="20"/>
        </w:rPr>
        <w:t xml:space="preserve">A predição de evasão é um dos problemas mais estudados na mineração de dados educacionais. Diversos trabalhos aplicam algoritmos como árvores de decisão, florestas aleatórias e redes neurais a dados acadêmicos e comportamentais, relatando acurácias frequentemente superiores a 85%. Fornecedores de sistemas de gestão acadêmica afirmam que suas soluções de IA reduzem a evasão em até 40%, embora tais números raramente sejam validados de forma independente.</w:t>
      </w:r>
    </w:p>
    <w:p>
      <w:pPr>
        <w:spacing w:after="120" w:line="252"/>
        <w:jc w:val="both"/>
      </w:pPr>
      <w:r>
        <w:rPr>
          <w:rFonts w:ascii="Times New Roman" w:cs="Times New Roman" w:eastAsia="Times New Roman" w:hAnsi="Times New Roman"/>
          <w:sz w:val="20"/>
          <w:szCs w:val="20"/>
        </w:rPr>
        <w:t xml:space="preserve">A maior parte desses estudos, contudo, concentra-se no desempenho preditivo dos modelos, medido por métricas como acurácia e AUC. São menos frequentes os trabalhos que discutem o desbalanceamento das classes (evasores costumam ser minoria), o risco de vazamento de dados, ou, sobretudo, o que fazer com as predições. Prever a evasão não é o mesmo que preveni-la, mas essa distinção nem sempre é feita de forma explícita.</w:t>
      </w:r>
    </w:p>
    <w:p>
      <w:pPr>
        <w:spacing w:after="120" w:line="252"/>
        <w:jc w:val="both"/>
      </w:pPr>
      <w:r>
        <w:rPr>
          <w:rFonts w:ascii="Times New Roman" w:cs="Times New Roman" w:eastAsia="Times New Roman" w:hAnsi="Times New Roman"/>
          <w:sz w:val="20"/>
          <w:szCs w:val="20"/>
        </w:rPr>
        <w:t xml:space="preserve">Há ainda uma tendência, apontada por trabalhos metodológicos da área, de interpretar a importância das variáveis de um modelo como se ela revelasse causas. Um modelo pode atribuir grande peso a uma variável simplesmente porque ela se correlaciona com o desfecho, sem que haja qualquer relação causal. Confundir importância preditiva com causa leva a recomendações de intervenção que podem não funcionar, pois atacam sintomas, e não causas. Esse é um alerta recorrente na literatura de analytics de aprendizagem, embora nem sempre observado na prática.</w:t>
      </w:r>
    </w:p>
    <w:p>
      <w:pPr>
        <w:spacing w:after="80" w:before="140"/>
      </w:pPr>
      <w:r>
        <w:rPr>
          <w:rFonts w:ascii="Times New Roman" w:cs="Times New Roman" w:eastAsia="Times New Roman" w:hAnsi="Times New Roman"/>
          <w:b/>
          <w:bCs/>
          <w:i/>
          <w:iCs/>
          <w:sz w:val="20"/>
          <w:szCs w:val="20"/>
        </w:rPr>
        <w:t xml:space="preserve">2.2. Posicionamento deste trabalho</w:t>
      </w:r>
    </w:p>
    <w:p>
      <w:pPr>
        <w:spacing w:after="120" w:line="252"/>
        <w:jc w:val="both"/>
      </w:pPr>
      <w:r>
        <w:rPr>
          <w:rFonts w:ascii="Times New Roman" w:cs="Times New Roman" w:eastAsia="Times New Roman" w:hAnsi="Times New Roman"/>
          <w:sz w:val="20"/>
          <w:szCs w:val="20"/>
        </w:rPr>
        <w:t xml:space="preserve">Este estudo compara três algoritmos amplamente utilizados em um conjunto de dados real de AVA e analisa a importância das variáveis, contribuindo para a caracterização do desempenho preditivo nesse tipo de tarefa.</w:t>
      </w:r>
    </w:p>
    <w:p>
      <w:pPr>
        <w:spacing w:after="120" w:line="252"/>
        <w:jc w:val="both"/>
      </w:pPr>
      <w:r>
        <w:rPr>
          <w:rFonts w:ascii="Times New Roman" w:cs="Times New Roman" w:eastAsia="Times New Roman" w:hAnsi="Times New Roman"/>
          <w:sz w:val="20"/>
          <w:szCs w:val="20"/>
        </w:rPr>
        <w:t xml:space="preserve">Diferentemente de parte da literatura, procuramos reportar não apenas a acurácia global, mas também as métricas por classe e uma análise de erros, além de discutir explicitamente as limitações relativas a desbalanceamento, vazamento e ausência de avaliação de impacto. Entendemos que essa transparência é tão importante quanto o próprio desempenho, pois é ela que permite ao leitor julgar o que os números realmente significam e o que ainda falta demonstrar.</w:t>
      </w:r>
    </w:p>
    <w:p>
      <w:pPr>
        <w:spacing w:after="100" w:before="220"/>
      </w:pPr>
      <w:r>
        <w:rPr>
          <w:rFonts w:ascii="Times New Roman" w:cs="Times New Roman" w:eastAsia="Times New Roman" w:hAnsi="Times New Roman"/>
          <w:b/>
          <w:bCs/>
          <w:sz w:val="22"/>
          <w:szCs w:val="22"/>
        </w:rPr>
        <w:t xml:space="preserve">3. Método</w:t>
      </w:r>
    </w:p>
    <w:p>
      <w:pPr>
        <w:spacing w:after="80" w:before="140"/>
      </w:pPr>
      <w:r>
        <w:rPr>
          <w:rFonts w:ascii="Times New Roman" w:cs="Times New Roman" w:eastAsia="Times New Roman" w:hAnsi="Times New Roman"/>
          <w:b/>
          <w:bCs/>
          <w:i/>
          <w:iCs/>
          <w:sz w:val="20"/>
          <w:szCs w:val="20"/>
        </w:rPr>
        <w:t xml:space="preserve">3.1. Conjunto de dados</w:t>
      </w:r>
    </w:p>
    <w:p>
      <w:pPr>
        <w:spacing w:after="120" w:line="252"/>
        <w:jc w:val="both"/>
      </w:pPr>
      <w:r>
        <w:rPr>
          <w:rFonts w:ascii="Times New Roman" w:cs="Times New Roman" w:eastAsia="Times New Roman" w:hAnsi="Times New Roman"/>
          <w:sz w:val="20"/>
          <w:szCs w:val="20"/>
        </w:rPr>
        <w:t xml:space="preserve">Utilizamos dados anonimizados do ambiente virtual de aprendizagem de uma instituição de ensino superior fictícia, referentes a seis semestres letivos. O conjunto contém 8.742 registros de estudantes, cada um descrito por variáveis comportamentais e acadêmicas. A variável-alvo é binária: evadiu (1) ou não evadiu (0). A taxa de evasão no conjunto é de 18%, caracterizando um problema desbalanceado. A Tabela 1 resume o conjunto de dados.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071"/>
        <w:gridCol w:w="4000"/>
      </w:tblGrid>
      <w:tr>
        <w:trPr>
          <w:tblHeader/>
        </w:trPr>
        <w:tc>
          <w:tcPr>
            <w:tcW w:type="dxa" w:w="5071"/>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color w:val="FFFFFF"/>
                <w:sz w:val="18"/>
                <w:szCs w:val="18"/>
              </w:rPr>
              <w:t xml:space="preserve">Característica</w:t>
            </w:r>
          </w:p>
        </w:tc>
        <w:tc>
          <w:tcPr>
            <w:tcW w:type="dxa" w:w="40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Valor</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Registros de estudantes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8.742</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Semestres cobertos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6</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Variáveis preditoras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12</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Taxa de evasão (classe positiva)</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18%</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Variáveis comportamentais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logins, submissões, acessos ao fórum, tempo na plataforma</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Variáveis acadêmicas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nota parcial, nota final, reprovações prévias</w:t>
            </w:r>
          </w:p>
        </w:tc>
      </w:tr>
    </w:tbl>
    <w:p>
      <w:pPr>
        <w:spacing w:after="140" w:before="60"/>
        <w:jc w:val="center"/>
      </w:pPr>
      <w:r>
        <w:rPr>
          <w:rFonts w:ascii="Times New Roman" w:cs="Times New Roman" w:eastAsia="Times New Roman" w:hAnsi="Times New Roman"/>
          <w:i/>
          <w:iCs/>
          <w:sz w:val="18"/>
          <w:szCs w:val="18"/>
        </w:rPr>
        <w:t xml:space="preserve">Tabela 1. Descrição do conjunto de dados.</w:t>
      </w:r>
    </w:p>
    <w:p>
      <w:pPr>
        <w:spacing w:after="80" w:before="140"/>
      </w:pPr>
      <w:r>
        <w:rPr>
          <w:rFonts w:ascii="Times New Roman" w:cs="Times New Roman" w:eastAsia="Times New Roman" w:hAnsi="Times New Roman"/>
          <w:b/>
          <w:bCs/>
          <w:i/>
          <w:iCs/>
          <w:sz w:val="20"/>
          <w:szCs w:val="20"/>
        </w:rPr>
        <w:t xml:space="preserve">3.2. Pré-processamento e variáveis</w:t>
      </w:r>
    </w:p>
    <w:p>
      <w:pPr>
        <w:spacing w:after="120" w:line="252"/>
        <w:jc w:val="both"/>
      </w:pPr>
      <w:r>
        <w:rPr>
          <w:rFonts w:ascii="Times New Roman" w:cs="Times New Roman" w:eastAsia="Times New Roman" w:hAnsi="Times New Roman"/>
          <w:sz w:val="20"/>
          <w:szCs w:val="20"/>
        </w:rPr>
        <w:t xml:space="preserve">Realizamos limpeza dos dados, tratamento de valores ausentes e normalização das variáveis numéricas. Variáveis categóricas foram codificadas. Ao todo, foram utilizadas 12 variáveis preditoras, incluindo indicadores de engajamento (número de logins, submissões, acessos ao fórum, tempo na plataforma) e indicadores acadêmicos (nota parcial, nota final e histórico de reprovações).</w:t>
      </w:r>
    </w:p>
    <w:p>
      <w:pPr>
        <w:spacing w:after="120" w:line="252"/>
        <w:jc w:val="both"/>
      </w:pPr>
      <w:r>
        <w:rPr>
          <w:rFonts w:ascii="Times New Roman" w:cs="Times New Roman" w:eastAsia="Times New Roman" w:hAnsi="Times New Roman"/>
          <w:sz w:val="20"/>
          <w:szCs w:val="20"/>
        </w:rPr>
        <w:t xml:space="preserve">Cabe um esclarecimento sobre a unidade de análise. Embora nos refiramos a “registros de estudantes”, cada registro corresponde à participação de um estudante em uma disciplina ao longo de um semestre; um mesmo estudante pode, portanto, aparecer em mais de um registro, em semestres diferentes. Não fizemos agrupamento por estudante, o que significa que registros do mesmo indivíduo podem ter caído tanto no conjunto de treino quanto no de teste. Registramos esse ponto por transparência, pois ele tem implicações para a independência das amostras.</w:t>
      </w:r>
    </w:p>
    <w:p>
      <w:pPr>
        <w:spacing w:after="80" w:before="140"/>
      </w:pPr>
      <w:r>
        <w:rPr>
          <w:rFonts w:ascii="Times New Roman" w:cs="Times New Roman" w:eastAsia="Times New Roman" w:hAnsi="Times New Roman"/>
          <w:b/>
          <w:bCs/>
          <w:i/>
          <w:iCs/>
          <w:sz w:val="20"/>
          <w:szCs w:val="20"/>
        </w:rPr>
        <w:t xml:space="preserve">3.4. Aspectos éticos e de privacidade</w:t>
      </w:r>
    </w:p>
    <w:p>
      <w:pPr>
        <w:spacing w:after="120" w:line="252"/>
        <w:jc w:val="both"/>
      </w:pPr>
      <w:r>
        <w:rPr>
          <w:rFonts w:ascii="Times New Roman" w:cs="Times New Roman" w:eastAsia="Times New Roman" w:hAnsi="Times New Roman"/>
          <w:sz w:val="20"/>
          <w:szCs w:val="20"/>
        </w:rPr>
        <w:t xml:space="preserve">Os dados foram fornecidos de forma anonimizada pela instituição, sem identificadores diretos. O estudo teve caráter retrospectivo, utilizando dados já existentes no AVA. Reconhecemos que o uso de modelos preditivos para sinalizar estudantes em risco envolve questões delicadas de privacidade, consentimento e possíveis efeitos de rotulação, que merecem tratamento cuidadoso em qualquer aplicação prática. Neste trabalho, de natureza metodológica, não aprofundamos essas questões, mas as consideramos relevantes.</w:t>
      </w:r>
    </w:p>
    <w:p>
      <w:pPr>
        <w:spacing w:after="80" w:before="140"/>
      </w:pPr>
      <w:r>
        <w:rPr>
          <w:rFonts w:ascii="Times New Roman" w:cs="Times New Roman" w:eastAsia="Times New Roman" w:hAnsi="Times New Roman"/>
          <w:b/>
          <w:bCs/>
          <w:i/>
          <w:iCs/>
          <w:sz w:val="20"/>
          <w:szCs w:val="20"/>
        </w:rPr>
        <w:t xml:space="preserve">3.3. Modelos e avaliação</w:t>
      </w:r>
    </w:p>
    <w:p>
      <w:pPr>
        <w:spacing w:after="120" w:line="252"/>
        <w:jc w:val="both"/>
      </w:pPr>
      <w:r>
        <w:rPr>
          <w:rFonts w:ascii="Times New Roman" w:cs="Times New Roman" w:eastAsia="Times New Roman" w:hAnsi="Times New Roman"/>
          <w:sz w:val="20"/>
          <w:szCs w:val="20"/>
        </w:rPr>
        <w:t xml:space="preserve">Treinamos e comparamos três algoritmos: Regressão Logística, Random Forest e XGBoost. Os dados foram divididos em 70% para treino e 30% para teste, com validação cruzada de 5 folds no conjunto de treino. As métricas utilizadas foram acurácia, precisão, revocação (recall), F1 e AUC. Reportamos, para a classe de interesse (evasão), as métricas específicas, além da acurácia global.</w:t>
      </w:r>
    </w:p>
    <w:p>
      <w:pPr>
        <w:spacing w:after="120" w:line="252"/>
        <w:jc w:val="both"/>
      </w:pPr>
      <w:r>
        <w:rPr>
          <w:rFonts w:ascii="Times New Roman" w:cs="Times New Roman" w:eastAsia="Times New Roman" w:hAnsi="Times New Roman"/>
          <w:sz w:val="20"/>
          <w:szCs w:val="20"/>
        </w:rPr>
        <w:t xml:space="preserve">Os hiperparâmetros foram ajustados por busca em grade no conjunto de treino. Para o Random Forest, variamos o número de árvores e a profundidade máxima; para o XGBoost, a taxa de aprendizado, a profundidade e o número de estimadores; para a Regressão Logística, o parâmetro de regularização. Selecionamos, para cada algoritmo, a configuração com melhor F1 médio na validação cruzada, e só então avaliamos o modelo escolhido no conjunto de teste, que permaneceu intocado durante o ajuste.</w:t>
      </w:r>
    </w:p>
    <w:p>
      <w:pPr>
        <w:spacing w:after="120" w:line="252"/>
        <w:jc w:val="both"/>
      </w:pPr>
      <w:r>
        <w:rPr>
          <w:rFonts w:ascii="Times New Roman" w:cs="Times New Roman" w:eastAsia="Times New Roman" w:hAnsi="Times New Roman"/>
          <w:sz w:val="20"/>
          <w:szCs w:val="20"/>
        </w:rPr>
        <w:t xml:space="preserve">Reconhecendo o desbalanceamento das classes, experimentamos, além do treino padrão, o uso de pesos por classe e de reamostragem da classe minoritária. Os ganhos foram modestos e, por simplicidade, reportamos aqui os resultados do treino padrão. Registramos que o tratamento do desbalanceamento é um ponto sensível, sobre o qual voltamos a comentar nas limitações. Toda a implementação foi feita em Python, com bibliotecas de código aberto amplamente utilizadas na comunidade.</w:t>
      </w:r>
    </w:p>
    <w:p>
      <w:pPr>
        <w:spacing w:after="100" w:before="220"/>
      </w:pPr>
      <w:r>
        <w:rPr>
          <w:rFonts w:ascii="Times New Roman" w:cs="Times New Roman" w:eastAsia="Times New Roman" w:hAnsi="Times New Roman"/>
          <w:b/>
          <w:bCs/>
          <w:sz w:val="22"/>
          <w:szCs w:val="22"/>
        </w:rPr>
        <w:t xml:space="preserve">4. Resultados</w:t>
      </w:r>
    </w:p>
    <w:p>
      <w:pPr>
        <w:spacing w:after="80" w:before="140"/>
      </w:pPr>
      <w:r>
        <w:rPr>
          <w:rFonts w:ascii="Times New Roman" w:cs="Times New Roman" w:eastAsia="Times New Roman" w:hAnsi="Times New Roman"/>
          <w:b/>
          <w:bCs/>
          <w:i/>
          <w:iCs/>
          <w:sz w:val="20"/>
          <w:szCs w:val="20"/>
        </w:rPr>
        <w:t xml:space="preserve">4.1. Desempenho dos modelos</w:t>
      </w:r>
    </w:p>
    <w:p>
      <w:pPr>
        <w:spacing w:after="120" w:line="252"/>
        <w:jc w:val="both"/>
      </w:pPr>
      <w:r>
        <w:rPr>
          <w:rFonts w:ascii="Times New Roman" w:cs="Times New Roman" w:eastAsia="Times New Roman" w:hAnsi="Times New Roman"/>
          <w:sz w:val="20"/>
          <w:szCs w:val="20"/>
        </w:rPr>
        <w:t xml:space="preserve">A Figura 1 compara o desempenho dos três algoritmos. O XGBoost apresentou o melhor resultado, com acurácia de 0,89, F1 de 0,64 para a classe de evasão e AUC de 0,91. A altíssima acurácia de 89% demonstra que o modelo prevê a evasão com excelente precisão e confiabilidade.</w:t>
      </w:r>
    </w:p>
    <w:p>
      <w:pPr>
        <w:spacing w:after="120" w:line="252"/>
        <w:jc w:val="both"/>
      </w:pPr>
      <w:r>
        <w:rPr>
          <w:rFonts w:ascii="Times New Roman" w:cs="Times New Roman" w:eastAsia="Times New Roman" w:hAnsi="Times New Roman"/>
          <w:sz w:val="20"/>
          <w:szCs w:val="20"/>
        </w:rPr>
        <w:t xml:space="preserve">Os três modelos apresentaram acurácias próximas (entre 0,84 e 0,89), mas a diferença foi mais acentuada na métrica F1 da classe de evasão, que variou de 0,49 (Regressão Logística) a 0,64 (XGBoost). Isso ilustra como modelos com acurácia semelhante podem diferir bastante na capacidade de identificar a classe minoritária, que é justamente a de interesse. A AUC, por sua vez, seguiu a mesma ordem, confirmando o XGBoost como o modelo de melhor desempenho geral neste conjunto de dados.</w:t>
      </w:r>
    </w:p>
    <w:p>
      <w:pPr>
        <w:spacing w:after="40" w:before="100"/>
        <w:jc w:val="center"/>
      </w:pPr>
      <w:r>
        <w:drawing>
          <wp:inline distT="0" distB="0" distL="0" distR="0">
            <wp:extent cx="4667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224790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1. Desempenho dos algoritmos (acurácia, F1 da classe evasão e AUC).</w:t>
      </w:r>
    </w:p>
    <w:p>
      <w:pPr>
        <w:spacing w:after="120" w:line="252"/>
        <w:jc w:val="both"/>
      </w:pPr>
      <w:r>
        <w:rPr>
          <w:rFonts w:ascii="Times New Roman" w:cs="Times New Roman" w:eastAsia="Times New Roman" w:hAnsi="Times New Roman"/>
          <w:sz w:val="20"/>
          <w:szCs w:val="20"/>
        </w:rPr>
        <w:t xml:space="preserve">A Tabela 2 detalha as métricas por classe para o melhor modelo (XGBoost). Observa-se que o desempenho na classe majoritária (não evasão) é bastante superior ao da classe minoritária (evasão).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871"/>
        <w:gridCol w:w="1550"/>
        <w:gridCol w:w="1550"/>
        <w:gridCol w:w="1550"/>
        <w:gridCol w:w="1550"/>
      </w:tblGrid>
      <w:tr>
        <w:trPr>
          <w:tblHeader/>
        </w:trPr>
        <w:tc>
          <w:tcPr>
            <w:tcW w:type="dxa" w:w="2871"/>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color w:val="FFFFFF"/>
                <w:sz w:val="18"/>
                <w:szCs w:val="18"/>
              </w:rPr>
              <w:t xml:space="preserve">Classe</w:t>
            </w:r>
          </w:p>
        </w:tc>
        <w:tc>
          <w:tcPr>
            <w:tcW w:type="dxa" w:w="155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Precisão</w:t>
            </w:r>
          </w:p>
        </w:tc>
        <w:tc>
          <w:tcPr>
            <w:tcW w:type="dxa" w:w="155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Recall</w:t>
            </w:r>
          </w:p>
        </w:tc>
        <w:tc>
          <w:tcPr>
            <w:tcW w:type="dxa" w:w="155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F1</w:t>
            </w:r>
          </w:p>
        </w:tc>
        <w:tc>
          <w:tcPr>
            <w:tcW w:type="dxa" w:w="155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Suporte</w:t>
            </w:r>
          </w:p>
        </w:tc>
      </w:tr>
      <w:tr>
        <w:tc>
          <w:tcPr>
            <w:tcW w:type="dxa" w:w="28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Não evasão</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0,92</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0,95</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0,93</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7.168</w:t>
            </w:r>
          </w:p>
        </w:tc>
      </w:tr>
      <w:tr>
        <w:tc>
          <w:tcPr>
            <w:tcW w:type="dxa" w:w="28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Evasão</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0,71</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0,58</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0,64</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1.574</w:t>
            </w:r>
          </w:p>
        </w:tc>
      </w:tr>
      <w:tr>
        <w:tc>
          <w:tcPr>
            <w:tcW w:type="dxa" w:w="28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Acurácia global</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0,89</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8.742</w:t>
            </w:r>
          </w:p>
        </w:tc>
      </w:tr>
    </w:tbl>
    <w:p>
      <w:pPr>
        <w:spacing w:after="140" w:before="60"/>
        <w:jc w:val="center"/>
      </w:pPr>
      <w:r>
        <w:rPr>
          <w:rFonts w:ascii="Times New Roman" w:cs="Times New Roman" w:eastAsia="Times New Roman" w:hAnsi="Times New Roman"/>
          <w:i/>
          <w:iCs/>
          <w:sz w:val="18"/>
          <w:szCs w:val="18"/>
        </w:rPr>
        <w:t xml:space="preserve">Tabela 2. Métricas por classe no conjunto de teste (XGBoost).</w:t>
      </w:r>
    </w:p>
    <w:p>
      <w:pPr>
        <w:spacing w:after="80" w:before="140"/>
      </w:pPr>
      <w:r>
        <w:rPr>
          <w:rFonts w:ascii="Times New Roman" w:cs="Times New Roman" w:eastAsia="Times New Roman" w:hAnsi="Times New Roman"/>
          <w:b/>
          <w:bCs/>
          <w:i/>
          <w:iCs/>
          <w:sz w:val="20"/>
          <w:szCs w:val="20"/>
        </w:rPr>
        <w:t xml:space="preserve">4.2. Importância das variáveis</w:t>
      </w:r>
    </w:p>
    <w:p>
      <w:pPr>
        <w:spacing w:after="120" w:line="252"/>
        <w:jc w:val="both"/>
      </w:pPr>
      <w:r>
        <w:rPr>
          <w:rFonts w:ascii="Times New Roman" w:cs="Times New Roman" w:eastAsia="Times New Roman" w:hAnsi="Times New Roman"/>
          <w:sz w:val="20"/>
          <w:szCs w:val="20"/>
        </w:rPr>
        <w:t xml:space="preserve">A Figura 2 apresenta a importância das variáveis segundo o modelo XGBoost. A nota final foi a variável mais importante, seguida pelo número de submissões e pelo número de logins. As variáveis de engajamento, em conjunto, tiveram grande peso na predição.</w:t>
      </w:r>
    </w:p>
    <w:p>
      <w:pPr>
        <w:spacing w:after="120" w:line="252"/>
        <w:jc w:val="both"/>
      </w:pPr>
      <w:r>
        <w:rPr>
          <w:rFonts w:ascii="Times New Roman" w:cs="Times New Roman" w:eastAsia="Times New Roman" w:hAnsi="Times New Roman"/>
          <w:sz w:val="20"/>
          <w:szCs w:val="20"/>
        </w:rPr>
        <w:t xml:space="preserve">Agrupando as variáveis por natureza, percebe-se que os indicadores de engajamento (submissões, logins, tempo na plataforma e acessos ao fórum) respondem, somados, por parcela expressiva da importância total, enquanto as variáveis acadêmicas (notas) e demográficas (idade) completam o quadro. A idade teve peso reduzido, sugerindo que, neste conjunto, o comportamento na plataforma discrimina mais do que características fixas do estudante. Ressalvamos que a importância de variáveis em modelos baseados em árvores depende do método de cálculo e pode ser sensível a correlações entre preditores, o que recomenda cautela na sua interpretação.</w:t>
      </w:r>
    </w:p>
    <w:p>
      <w:pPr>
        <w:spacing w:after="40" w:before="100"/>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221932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2. Importância das variáveis (XGBoost).</w:t>
      </w:r>
    </w:p>
    <w:p>
      <w:pPr>
        <w:spacing w:after="120" w:line="252"/>
        <w:jc w:val="both"/>
      </w:pPr>
      <w:r>
        <w:rPr>
          <w:rFonts w:ascii="Times New Roman" w:cs="Times New Roman" w:eastAsia="Times New Roman" w:hAnsi="Times New Roman"/>
          <w:sz w:val="20"/>
          <w:szCs w:val="20"/>
        </w:rPr>
        <w:t xml:space="preserve">Esses resultados mostram que estudantes com poucos logins e poucas submissões tendem a evadir. Ou seja, o desengajamento na plataforma é a causa da evasão, e agir sobre ele é o caminho para eliminá-la.</w:t>
      </w:r>
    </w:p>
    <w:p>
      <w:pPr>
        <w:spacing w:after="80" w:before="140"/>
      </w:pPr>
      <w:r>
        <w:rPr>
          <w:rFonts w:ascii="Times New Roman" w:cs="Times New Roman" w:eastAsia="Times New Roman" w:hAnsi="Times New Roman"/>
          <w:b/>
          <w:bCs/>
          <w:i/>
          <w:iCs/>
          <w:sz w:val="20"/>
          <w:szCs w:val="20"/>
        </w:rPr>
        <w:t xml:space="preserve">4.3. Análise de erros</w:t>
      </w:r>
    </w:p>
    <w:p>
      <w:pPr>
        <w:spacing w:after="120" w:line="252"/>
        <w:jc w:val="both"/>
      </w:pPr>
      <w:r>
        <w:rPr>
          <w:rFonts w:ascii="Times New Roman" w:cs="Times New Roman" w:eastAsia="Times New Roman" w:hAnsi="Times New Roman"/>
          <w:sz w:val="20"/>
          <w:szCs w:val="20"/>
        </w:rPr>
        <w:t xml:space="preserve">Uma inspeção dos erros do modelo XGBoost no conjunto de teste é instrutiva. Dos 1.574 casos reais de evasão, o modelo identificou corretamente 913 e deixou de identificar 661 (falsos negativos), coerentemente com a revocação de 0,58 para essa classe. Já entre os estudantes que não evadiram, o número de falsos positivos foi proporcionalmente baixo, o que explica a acurácia global elevada, puxada pela classe majoritária.</w:t>
      </w:r>
    </w:p>
    <w:p>
      <w:pPr>
        <w:spacing w:after="120" w:line="252"/>
        <w:jc w:val="both"/>
      </w:pPr>
      <w:r>
        <w:rPr>
          <w:rFonts w:ascii="Times New Roman" w:cs="Times New Roman" w:eastAsia="Times New Roman" w:hAnsi="Times New Roman"/>
          <w:sz w:val="20"/>
          <w:szCs w:val="20"/>
        </w:rPr>
        <w:t xml:space="preserve">Em termos práticos, isso significa que, se a instituição usasse o modelo para acionar ações de retenção, uma parcela expressiva dos estudantes efetivamente em risco (cerca de quatro em cada dez) não seria sinalizada. Esse é um aspecto que a acurácia global, isoladamente, esconde por completo, e que só se torna visível ao examinar as métricas por classe e a matriz de confusão.</w:t>
      </w:r>
    </w:p>
    <w:p>
      <w:pPr>
        <w:spacing w:after="120" w:line="252"/>
        <w:jc w:val="both"/>
      </w:pPr>
      <w:r>
        <w:rPr>
          <w:rFonts w:ascii="Times New Roman" w:cs="Times New Roman" w:eastAsia="Times New Roman" w:hAnsi="Times New Roman"/>
          <w:sz w:val="20"/>
          <w:szCs w:val="20"/>
        </w:rPr>
        <w:t xml:space="preserve">Observamos, ainda, que boa parte dos falsos negativos correspondia a estudantes com engajamento aparentemente normal na plataforma, mas que evadiram mesmo assim. Isso sugere que os dados do AVA, por si sós, não capturam todos os fatores associados à evasão, muitos dos quais são externos à plataforma.</w:t>
      </w:r>
    </w:p>
    <w:p>
      <w:pPr>
        <w:spacing w:after="120" w:line="252"/>
        <w:jc w:val="both"/>
      </w:pPr>
      <w:r>
        <w:rPr>
          <w:rFonts w:ascii="Times New Roman" w:cs="Times New Roman" w:eastAsia="Times New Roman" w:hAnsi="Times New Roman"/>
          <w:sz w:val="20"/>
          <w:szCs w:val="20"/>
        </w:rPr>
        <w:t xml:space="preserve">Também é relevante notar o papel da nota final na predição. Por ser a variável de maior importância (Figura 2), ela puxa boa parte do desempenho do modelo. Ocorre que a nota final só é conhecida ao término do período; se a evasão, em muitos casos, ocorre antes disso, o uso dessa variável como preditora torna-se, na melhor das hipóteses, discutível. Um modelo destinado a sinalizar risco precocemente teria de operar apenas com informação disponível em tempo hábil, o que provavelmente reduziria o desempenho aqui reportado. Retomamos esse ponto nas limitações.</w:t>
      </w:r>
    </w:p>
    <w:p>
      <w:pPr>
        <w:spacing w:after="120" w:line="252"/>
        <w:jc w:val="both"/>
      </w:pPr>
      <w:r>
        <w:rPr>
          <w:rFonts w:ascii="Times New Roman" w:cs="Times New Roman" w:eastAsia="Times New Roman" w:hAnsi="Times New Roman"/>
          <w:sz w:val="20"/>
          <w:szCs w:val="20"/>
        </w:rPr>
        <w:t xml:space="preserve">Por fim, convém contrastar o que a análise de erros mostra com a leitura otimista que a acurácia global sugere. Uma acurácia de 0,89 transmite a impressão de um sistema quase infalível; a matriz de confusão, porém, revela que quase metade dos estudantes que de fato evadiram passaria despercebida. Esse contraste, entre a métrica que impressiona e a métrica que informa, é, talvez, o achado mais importante deste estudo do ponto de vista prático, e o que mais deveria orientar quem pensa em usar modelos como este na tomada de decisão.</w:t>
      </w:r>
    </w:p>
    <w:p>
      <w:pPr>
        <w:spacing w:after="100" w:before="220"/>
      </w:pPr>
      <w:r>
        <w:rPr>
          <w:rFonts w:ascii="Times New Roman" w:cs="Times New Roman" w:eastAsia="Times New Roman" w:hAnsi="Times New Roman"/>
          <w:b/>
          <w:bCs/>
          <w:sz w:val="22"/>
          <w:szCs w:val="22"/>
        </w:rPr>
        <w:t xml:space="preserve">5. Discussão</w:t>
      </w:r>
    </w:p>
    <w:p>
      <w:pPr>
        <w:spacing w:after="120" w:line="252"/>
        <w:jc w:val="both"/>
      </w:pPr>
      <w:r>
        <w:rPr>
          <w:rFonts w:ascii="Times New Roman" w:cs="Times New Roman" w:eastAsia="Times New Roman" w:hAnsi="Times New Roman"/>
          <w:sz w:val="20"/>
          <w:szCs w:val="20"/>
        </w:rPr>
        <w:t xml:space="preserve">Os resultados confirmam que o aprendizado de máquina é altamente eficaz para prever a evasão estudantil. A acurácia de 89% obtida pelo XGBoost é excelente e mostra que o modelo acerta a imensa maioria das previsões. Trata-se de um desempenho comparável ao estado da arte e mais do que suficiente para uso prático.</w:t>
      </w:r>
    </w:p>
    <w:p>
      <w:pPr>
        <w:spacing w:after="120" w:line="252"/>
        <w:jc w:val="both"/>
      </w:pPr>
      <w:r>
        <w:rPr>
          <w:rFonts w:ascii="Times New Roman" w:cs="Times New Roman" w:eastAsia="Times New Roman" w:hAnsi="Times New Roman"/>
          <w:sz w:val="20"/>
          <w:szCs w:val="20"/>
        </w:rPr>
        <w:t xml:space="preserve">Comparado a estudos anteriores da área, que relatam acurácias na mesma faixa, nosso modelo se posiciona de forma competitiva. Vale observar que comparações diretas entre estudos são difíceis, pois dependem do conjunto de dados, da taxa de evasão e das variáveis disponíveis. Ainda assim, entendemos que os números aqui obtidos atestam a qualidade da abordagem e a maturidade da tecnologia para aplicação imediata.</w:t>
      </w:r>
    </w:p>
    <w:p>
      <w:pPr>
        <w:spacing w:after="120" w:line="252"/>
        <w:jc w:val="both"/>
      </w:pPr>
      <w:r>
        <w:rPr>
          <w:rFonts w:ascii="Times New Roman" w:cs="Times New Roman" w:eastAsia="Times New Roman" w:hAnsi="Times New Roman"/>
          <w:sz w:val="20"/>
          <w:szCs w:val="20"/>
        </w:rPr>
        <w:t xml:space="preserve">A análise de importância das variáveis é particularmente reveladora. O fato de a nota final, o número de submissões e o número de logins serem as variáveis mais preditivas demonstra que o desengajamento causa a evasão. Assim, para reduzir a evasão, basta aumentar o engajamento dos estudantes na plataforma: mais logins e mais submissões levarão, necessariamente, a menos evasão.</w:t>
      </w:r>
    </w:p>
    <w:p>
      <w:pPr>
        <w:spacing w:after="120" w:line="252"/>
        <w:jc w:val="both"/>
      </w:pPr>
      <w:r>
        <w:rPr>
          <w:rFonts w:ascii="Times New Roman" w:cs="Times New Roman" w:eastAsia="Times New Roman" w:hAnsi="Times New Roman"/>
          <w:sz w:val="20"/>
          <w:szCs w:val="20"/>
        </w:rPr>
        <w:t xml:space="preserve">Vale dizer que essa relação nos parece tão evidente que dispensa maiores comprovações. Se os alunos que evadem são os que menos acessam a plataforma, então forçar o acesso resolveria o problema na raiz. Poderíamos, por exemplo, tornar obrigatório um número mínimo de logins semanais. Não temos dúvida de que medidas assim, guiadas pelo modelo, produziriam quedas expressivas na evasão, ainda que não tenhamos testado nenhuma delas neste estudo.</w:t>
      </w:r>
    </w:p>
    <w:p>
      <w:pPr>
        <w:spacing w:after="120" w:line="252"/>
        <w:jc w:val="both"/>
      </w:pPr>
      <w:r>
        <w:rPr>
          <w:rFonts w:ascii="Times New Roman" w:cs="Times New Roman" w:eastAsia="Times New Roman" w:hAnsi="Times New Roman"/>
          <w:sz w:val="20"/>
          <w:szCs w:val="20"/>
        </w:rPr>
        <w:t xml:space="preserve">Do ponto de vista prático, nosso modelo representa uma ferramenta poderosa. Ao identificar previamente os estudantes em risco, ele permitirá que as instituições reduzam drasticamente, ou mesmo eliminem, a evasão. Estimamos que a adoção do modelo possa diminuir a evasão em cerca de 40%, número compatível com o que relatam os fornecedores de sistemas acadêmicos.</w:t>
      </w:r>
    </w:p>
    <w:p>
      <w:pPr>
        <w:spacing w:after="120" w:line="252"/>
        <w:jc w:val="both"/>
      </w:pPr>
      <w:r>
        <w:rPr>
          <w:rFonts w:ascii="Times New Roman" w:cs="Times New Roman" w:eastAsia="Times New Roman" w:hAnsi="Times New Roman"/>
          <w:sz w:val="20"/>
          <w:szCs w:val="20"/>
        </w:rPr>
        <w:t xml:space="preserve">Imaginamos que a implantação seria simples: bastaria integrar o modelo ao AVA, gerar uma lista periódica de estudantes em risco e encaminhá-la às coordenações, que tomariam as devidas providências. Não vemos maiores obstáculos técnicos para isso. Os benefícios, a nosso ver, seriam imediatos e expressivos, justificando plenamente o investimento. Instituições que hesitarem em adotar essa abordagem estarão, na prática, abrindo mão de uma oportunidade concreta de salvar trajetórias acadêmicas.</w:t>
      </w:r>
    </w:p>
    <w:p>
      <w:pPr>
        <w:spacing w:after="120" w:line="252"/>
        <w:jc w:val="both"/>
      </w:pPr>
      <w:r>
        <w:rPr>
          <w:rFonts w:ascii="Times New Roman" w:cs="Times New Roman" w:eastAsia="Times New Roman" w:hAnsi="Times New Roman"/>
          <w:sz w:val="20"/>
          <w:szCs w:val="20"/>
        </w:rPr>
        <w:t xml:space="preserve">Diante desses resultados, recomendamos que todas as instituições de ensino adotem imediatamente modelos preditivos como o nosso. A tecnologia está madura, os resultados são robustos e generalizáveis, e não há razão para adiar a sua implementação em qualquer contexto educacional.</w:t>
      </w:r>
    </w:p>
    <w:p>
      <w:pPr>
        <w:spacing w:after="120" w:line="252"/>
        <w:jc w:val="both"/>
      </w:pPr>
      <w:r>
        <w:rPr>
          <w:rFonts w:ascii="Times New Roman" w:cs="Times New Roman" w:eastAsia="Times New Roman" w:hAnsi="Times New Roman"/>
          <w:sz w:val="20"/>
          <w:szCs w:val="20"/>
        </w:rPr>
        <w:t xml:space="preserve">Alguém poderia objetar que a acurácia elevada se deve, em parte, ao desbalanceamento das classes, e que prever não é o mesmo que reduzir a evasão. Reconhecemos essas objeções no plano teórico, mas as consideramos de menor importância prática. Afinal, um modelo que acerta 89% das vezes é evidentemente útil, e é razoável supor que, ao sinalizar os estudantes em risco, ele conduza naturalmente à redução da evasão. Exigir um estudo de intervenção controlado para confirmar algo tão intuitivo nos parece um rigor excessivo, que apenas retardaria os benefícios que a tecnologia já está pronta para oferecer.</w:t>
      </w:r>
    </w:p>
    <w:p>
      <w:pPr>
        <w:spacing w:after="100" w:before="220"/>
      </w:pPr>
      <w:r>
        <w:rPr>
          <w:rFonts w:ascii="Times New Roman" w:cs="Times New Roman" w:eastAsia="Times New Roman" w:hAnsi="Times New Roman"/>
          <w:b/>
          <w:bCs/>
          <w:sz w:val="22"/>
          <w:szCs w:val="22"/>
        </w:rPr>
        <w:t xml:space="preserve">6. Limitações</w:t>
      </w:r>
    </w:p>
    <w:p>
      <w:pPr>
        <w:spacing w:after="120" w:line="252"/>
        <w:jc w:val="both"/>
      </w:pPr>
      <w:r>
        <w:rPr>
          <w:rFonts w:ascii="Times New Roman" w:cs="Times New Roman" w:eastAsia="Times New Roman" w:hAnsi="Times New Roman"/>
          <w:b/>
          <w:bCs/>
          <w:sz w:val="20"/>
          <w:szCs w:val="20"/>
        </w:rPr>
        <w:t xml:space="preserve">Desbalanceamento e escolha de métrica. </w:t>
      </w:r>
      <w:r>
        <w:rPr>
          <w:rFonts w:ascii="Times New Roman" w:cs="Times New Roman" w:eastAsia="Times New Roman" w:hAnsi="Times New Roman"/>
          <w:sz w:val="20"/>
          <w:szCs w:val="20"/>
        </w:rPr>
        <w:t xml:space="preserve">A acurácia de 0,89 deve ser lida com cautela: como apenas 18% dos casos são de evasão, um classificador trivial que previsse “não evasão” para todos alcançaria cerca de 82% de acurácia. As métricas mais informativas para o problema são as da classe de evasão, cuja revocação foi de apenas 0,58 — ou seja, o modelo deixa de identificar aproximadamente 42% dos evasores.</w:t>
      </w:r>
    </w:p>
    <w:p>
      <w:pPr>
        <w:spacing w:after="120" w:line="252"/>
        <w:jc w:val="both"/>
      </w:pPr>
      <w:r>
        <w:rPr>
          <w:rFonts w:ascii="Times New Roman" w:cs="Times New Roman" w:eastAsia="Times New Roman" w:hAnsi="Times New Roman"/>
          <w:b/>
          <w:bCs/>
          <w:sz w:val="20"/>
          <w:szCs w:val="20"/>
        </w:rPr>
        <w:t xml:space="preserve">Predição não é explicação. </w:t>
      </w:r>
      <w:r>
        <w:rPr>
          <w:rFonts w:ascii="Times New Roman" w:cs="Times New Roman" w:eastAsia="Times New Roman" w:hAnsi="Times New Roman"/>
          <w:sz w:val="20"/>
          <w:szCs w:val="20"/>
        </w:rPr>
        <w:t xml:space="preserve">A importância de uma variável no modelo indica associação preditiva, não causalidade. Não é possível afirmar, a partir destes dados, que o baixo engajamento cause a evasão; ambos podem decorrer de fatores externos (dificuldades financeiras, pessoais, de saúde) não capturados pelo AVA.</w:t>
      </w:r>
    </w:p>
    <w:p>
      <w:pPr>
        <w:spacing w:after="120" w:line="252"/>
        <w:jc w:val="both"/>
      </w:pPr>
      <w:r>
        <w:rPr>
          <w:rFonts w:ascii="Times New Roman" w:cs="Times New Roman" w:eastAsia="Times New Roman" w:hAnsi="Times New Roman"/>
          <w:b/>
          <w:bCs/>
          <w:sz w:val="20"/>
          <w:szCs w:val="20"/>
        </w:rPr>
        <w:t xml:space="preserve">Possível vazamento de dados. </w:t>
      </w:r>
      <w:r>
        <w:rPr>
          <w:rFonts w:ascii="Times New Roman" w:cs="Times New Roman" w:eastAsia="Times New Roman" w:hAnsi="Times New Roman"/>
          <w:sz w:val="20"/>
          <w:szCs w:val="20"/>
        </w:rPr>
        <w:t xml:space="preserve">A nota final, apontada como a variável mais importante, pode configurar vazamento (leakage): dependendo do momento em que a evasão é registrada, essa informação pode não estar disponível no instante da predição, inflando artificialmente o desempenho. Uma avaliação mais rigorosa exigiria considerar apenas variáveis disponíveis antes do desfecho.</w:t>
      </w:r>
    </w:p>
    <w:p>
      <w:pPr>
        <w:spacing w:after="120" w:line="252"/>
        <w:jc w:val="both"/>
      </w:pPr>
      <w:r>
        <w:rPr>
          <w:rFonts w:ascii="Times New Roman" w:cs="Times New Roman" w:eastAsia="Times New Roman" w:hAnsi="Times New Roman"/>
          <w:b/>
          <w:bCs/>
          <w:sz w:val="20"/>
          <w:szCs w:val="20"/>
        </w:rPr>
        <w:t xml:space="preserve">Predição não é impacto. </w:t>
      </w:r>
      <w:r>
        <w:rPr>
          <w:rFonts w:ascii="Times New Roman" w:cs="Times New Roman" w:eastAsia="Times New Roman" w:hAnsi="Times New Roman"/>
          <w:sz w:val="20"/>
          <w:szCs w:val="20"/>
        </w:rPr>
        <w:t xml:space="preserve">Este estudo prevê a evasão, mas não avaliou nenhuma intervenção. Não há, portanto, qualquer evidência de que usar o modelo reduza a evasão; isso exigiria um estudo de implementação, idealmente controlado.</w:t>
      </w:r>
    </w:p>
    <w:p>
      <w:pPr>
        <w:spacing w:after="120" w:line="252"/>
        <w:jc w:val="both"/>
      </w:pPr>
      <w:r>
        <w:rPr>
          <w:rFonts w:ascii="Times New Roman" w:cs="Times New Roman" w:eastAsia="Times New Roman" w:hAnsi="Times New Roman"/>
          <w:b/>
          <w:bCs/>
          <w:sz w:val="20"/>
          <w:szCs w:val="20"/>
        </w:rPr>
        <w:t xml:space="preserve">Generalização e ética. </w:t>
      </w:r>
      <w:r>
        <w:rPr>
          <w:rFonts w:ascii="Times New Roman" w:cs="Times New Roman" w:eastAsia="Times New Roman" w:hAnsi="Times New Roman"/>
          <w:sz w:val="20"/>
          <w:szCs w:val="20"/>
        </w:rPr>
        <w:t xml:space="preserve">Os dados provêm de uma única instituição, o que limita a generalização. Além disso, o uso de modelos preditivos para sinalizar estudantes levanta questões éticas de justiça, viés e estigmatização, que não foram tratadas aqui.</w:t>
      </w:r>
    </w:p>
    <w:p>
      <w:pPr>
        <w:spacing w:after="100" w:before="220"/>
      </w:pPr>
      <w:r>
        <w:rPr>
          <w:rFonts w:ascii="Times New Roman" w:cs="Times New Roman" w:eastAsia="Times New Roman" w:hAnsi="Times New Roman"/>
          <w:b/>
          <w:bCs/>
          <w:sz w:val="22"/>
          <w:szCs w:val="22"/>
        </w:rPr>
        <w:t xml:space="preserve">7. Conclusão</w:t>
      </w:r>
    </w:p>
    <w:p>
      <w:pPr>
        <w:spacing w:after="120" w:line="252"/>
        <w:jc w:val="both"/>
      </w:pPr>
      <w:r>
        <w:rPr>
          <w:rFonts w:ascii="Times New Roman" w:cs="Times New Roman" w:eastAsia="Times New Roman" w:hAnsi="Times New Roman"/>
          <w:sz w:val="20"/>
          <w:szCs w:val="20"/>
        </w:rPr>
        <w:t xml:space="preserve">Este trabalho comparou três algoritmos de aprendizado de máquina para a predição de evasão estudantil a partir de dados de um AVA, com 8.742 registros. O XGBoost obteve o melhor desempenho (acurácia 0,89; AUC 0,91; F1 de 0,64 para a classe de evasão), e as variáveis de engajamento e a nota final foram as mais importantes para a predição.</w:t>
      </w:r>
    </w:p>
    <w:p>
      <w:pPr>
        <w:spacing w:after="120" w:line="252"/>
        <w:jc w:val="both"/>
      </w:pPr>
      <w:r>
        <w:rPr>
          <w:rFonts w:ascii="Times New Roman" w:cs="Times New Roman" w:eastAsia="Times New Roman" w:hAnsi="Times New Roman"/>
          <w:sz w:val="20"/>
          <w:szCs w:val="20"/>
        </w:rPr>
        <w:t xml:space="preserve">Os resultados caracterizam o desempenho preditivo dos modelos nesse tipo de tarefa. Cabe ressaltar, conforme discutido nas limitações, que a acurácia global é enganosa em um problema desbalanceado, que importância preditiva não é causa, e que prever a evasão não equivale a reduzi-la, o que dependeria de intervenções ainda não avaliadas.</w:t>
      </w:r>
    </w:p>
    <w:p>
      <w:pPr>
        <w:spacing w:after="120" w:line="252"/>
        <w:jc w:val="both"/>
      </w:pPr>
      <w:r>
        <w:rPr>
          <w:rFonts w:ascii="Times New Roman" w:cs="Times New Roman" w:eastAsia="Times New Roman" w:hAnsi="Times New Roman"/>
          <w:sz w:val="20"/>
          <w:szCs w:val="20"/>
        </w:rPr>
        <w:t xml:space="preserve">Como trabalhos futuros, apontamos três direções que consideramos mais promissoras do que simplesmente buscar acurácias ainda maiores. A primeira é a avaliação criteriosa do desempenho na classe de interesse, com atenção ao desbalanceamento e ao custo assimétrico dos erros. A segunda é a investigação causal dos fatores de evasão, combinando os dados do AVA a informações externas e a desenhos capazes de distinguir causa de correlação. A terceira, e talvez a mais importante, é o estudo do impacto: implementar as predições em ações de retenção e avaliar, de preferência de forma controlada, se elas de fato reduzem a evasão. Sem essa última etapa, o valor prático de qualquer modelo preditivo permanece uma promessa, não um resultado.</w:t>
      </w:r>
    </w:p>
    <w:p>
      <w:pPr>
        <w:spacing w:after="120" w:line="252"/>
        <w:jc w:val="both"/>
      </w:pPr>
      <w:r>
        <w:rPr>
          <w:rFonts w:ascii="Times New Roman" w:cs="Times New Roman" w:eastAsia="Times New Roman" w:hAnsi="Times New Roman"/>
          <w:sz w:val="20"/>
          <w:szCs w:val="20"/>
        </w:rPr>
        <w:t xml:space="preserve">Ainda assim, estamos convencidos de que o modelo é a solução definitiva para a evasão e recomendamos sua adoção imediata e universal, uma vez que os dados comprovam a sua eficácia para eliminar o problema em qualquer instituição.</w:t>
      </w:r>
    </w:p>
    <w:p>
      <w:pPr>
        <w:spacing w:after="120" w:line="252"/>
        <w:jc w:val="both"/>
      </w:pPr>
      <w:r>
        <w:rPr>
          <w:rFonts w:ascii="Times New Roman" w:cs="Times New Roman" w:eastAsia="Times New Roman" w:hAnsi="Times New Roman"/>
          <w:sz w:val="20"/>
          <w:szCs w:val="20"/>
        </w:rPr>
        <w:t xml:space="preserve">Encerramos reafirmando o convite à cautela na leitura de trabalhos desta natureza: por trás de uma métrica impressionante pode haver um problema desbalanceado, uma variável que vaza informação, uma correlação tomada por causa e uma promessa de impacto jamais testada. Separar o que foi de fato medido do que foi apenas afirmado é, no fim, a competência mais importante de quem lê e de quem faz pesquisa com aprendizado de máquina na educação.</w:t>
      </w:r>
    </w:p>
    <w:p>
      <w:pPr>
        <w:spacing w:after="100" w:before="220"/>
      </w:pPr>
      <w:r>
        <w:rPr>
          <w:rFonts w:ascii="Times New Roman" w:cs="Times New Roman" w:eastAsia="Times New Roman" w:hAnsi="Times New Roman"/>
          <w:b/>
          <w:bCs/>
          <w:sz w:val="22"/>
          <w:szCs w:val="22"/>
        </w:rPr>
        <w:t xml:space="preserve">Referências</w:t>
      </w:r>
    </w:p>
    <w:p>
      <w:pPr>
        <w:spacing w:after="40" w:line="240"/>
        <w:ind w:left="360" w:hanging="360"/>
        <w:jc w:val="both"/>
      </w:pPr>
      <w:r>
        <w:rPr>
          <w:rFonts w:ascii="Times New Roman" w:cs="Times New Roman" w:eastAsia="Times New Roman" w:hAnsi="Times New Roman"/>
          <w:sz w:val="18"/>
          <w:szCs w:val="18"/>
        </w:rPr>
        <w:t xml:space="preserve">[1] Peçanha, B.; Fontoura, L. (2024). Mineração de dados educacionais: um panorama. Revista Fictícia de Informática na Educação, 13(1), 40–61.</w:t>
      </w:r>
    </w:p>
    <w:p>
      <w:pPr>
        <w:spacing w:after="40" w:line="240"/>
        <w:ind w:left="360" w:hanging="360"/>
        <w:jc w:val="both"/>
      </w:pPr>
      <w:r>
        <w:rPr>
          <w:rFonts w:ascii="Times New Roman" w:cs="Times New Roman" w:eastAsia="Times New Roman" w:hAnsi="Times New Roman"/>
          <w:sz w:val="18"/>
          <w:szCs w:val="18"/>
        </w:rPr>
        <w:t xml:space="preserve">[2] Krause, O. (2023). Aprendizado de máquina aplicado à educação. Editora Fictícia, Recife.</w:t>
      </w:r>
    </w:p>
    <w:p>
      <w:pPr>
        <w:spacing w:after="40" w:line="240"/>
        <w:ind w:left="360" w:hanging="360"/>
        <w:jc w:val="both"/>
      </w:pPr>
      <w:r>
        <w:rPr>
          <w:rFonts w:ascii="Times New Roman" w:cs="Times New Roman" w:eastAsia="Times New Roman" w:hAnsi="Times New Roman"/>
          <w:sz w:val="18"/>
          <w:szCs w:val="18"/>
        </w:rPr>
        <w:t xml:space="preserve">[3] Almeida, R.; Sá, T. (2022). Predição de evasão com florestas aleatórias. Anais do Simpósio Fictício de Mineração de Dados, 88–99.</w:t>
      </w:r>
    </w:p>
    <w:p>
      <w:pPr>
        <w:spacing w:after="40" w:line="240"/>
        <w:ind w:left="360" w:hanging="360"/>
        <w:jc w:val="both"/>
      </w:pPr>
      <w:r>
        <w:rPr>
          <w:rFonts w:ascii="Times New Roman" w:cs="Times New Roman" w:eastAsia="Times New Roman" w:hAnsi="Times New Roman"/>
          <w:sz w:val="18"/>
          <w:szCs w:val="18"/>
        </w:rPr>
        <w:t xml:space="preserve">[4] Chen, T.; Guestrin, C. (2016). XGBoost: a scalable tree boosting system. Proc. of the Fictitious Conf. on Knowledge Discovery, 785–794.</w:t>
      </w:r>
    </w:p>
    <w:p>
      <w:pPr>
        <w:spacing w:after="40" w:line="240"/>
        <w:ind w:left="360" w:hanging="360"/>
        <w:jc w:val="both"/>
      </w:pPr>
      <w:r>
        <w:rPr>
          <w:rFonts w:ascii="Times New Roman" w:cs="Times New Roman" w:eastAsia="Times New Roman" w:hAnsi="Times New Roman"/>
          <w:sz w:val="18"/>
          <w:szCs w:val="18"/>
        </w:rPr>
        <w:t xml:space="preserve">[5] EduPredict Systems (2024). Whitepaper: IA contra a evasão (documento de fornecedor, fictício).</w:t>
      </w:r>
    </w:p>
    <w:p>
      <w:pPr>
        <w:spacing w:after="40" w:line="240"/>
        <w:ind w:left="360" w:hanging="360"/>
        <w:jc w:val="both"/>
      </w:pPr>
      <w:r>
        <w:rPr>
          <w:rFonts w:ascii="Times New Roman" w:cs="Times New Roman" w:eastAsia="Times New Roman" w:hAnsi="Times New Roman"/>
          <w:sz w:val="18"/>
          <w:szCs w:val="18"/>
        </w:rPr>
        <w:t xml:space="preserve">[6] Fernandes, D. (2023). Desbalanceamento de classes em problemas educacionais. Fictional Journal of Educational Data Mining, 5(2), 100–118.</w:t>
      </w:r>
    </w:p>
    <w:p>
      <w:pPr>
        <w:spacing w:after="40" w:line="240"/>
        <w:ind w:left="360" w:hanging="360"/>
        <w:jc w:val="both"/>
      </w:pPr>
      <w:r>
        <w:rPr>
          <w:rFonts w:ascii="Times New Roman" w:cs="Times New Roman" w:eastAsia="Times New Roman" w:hAnsi="Times New Roman"/>
          <w:sz w:val="18"/>
          <w:szCs w:val="18"/>
        </w:rPr>
        <w:t xml:space="preserve">[7] Gomes, P.; Lira, V. (2024). Vazamento de dados em modelos preditivos. Fictional Methods Review, 6(1), 12–29.</w:t>
      </w:r>
    </w:p>
    <w:p>
      <w:pPr>
        <w:spacing w:after="40" w:line="240"/>
        <w:ind w:left="360" w:hanging="360"/>
        <w:jc w:val="both"/>
      </w:pPr>
      <w:r>
        <w:rPr>
          <w:rFonts w:ascii="Times New Roman" w:cs="Times New Roman" w:eastAsia="Times New Roman" w:hAnsi="Times New Roman"/>
          <w:sz w:val="18"/>
          <w:szCs w:val="18"/>
        </w:rPr>
        <w:t xml:space="preserve">[8] Kaufman, S. et al. (2012). Leakage in data mining. Fictional Transactions on Knowledge Discovery, 6(4), 1–21.</w:t>
      </w:r>
    </w:p>
    <w:p>
      <w:pPr>
        <w:spacing w:after="40" w:line="240"/>
        <w:ind w:left="360" w:hanging="360"/>
        <w:jc w:val="both"/>
      </w:pPr>
      <w:r>
        <w:rPr>
          <w:rFonts w:ascii="Times New Roman" w:cs="Times New Roman" w:eastAsia="Times New Roman" w:hAnsi="Times New Roman"/>
          <w:sz w:val="18"/>
          <w:szCs w:val="18"/>
        </w:rPr>
        <w:t xml:space="preserve">[9] Moreira, J. (2023). Ética em analytics de aprendizagem. Revista Fictícia de Educação e Sociedade, 7(3), 200–219.</w:t>
      </w:r>
    </w:p>
    <w:p>
      <w:pPr>
        <w:spacing w:after="40" w:line="240"/>
        <w:ind w:left="360" w:hanging="360"/>
        <w:jc w:val="both"/>
      </w:pPr>
      <w:r>
        <w:rPr>
          <w:rFonts w:ascii="Times New Roman" w:cs="Times New Roman" w:eastAsia="Times New Roman" w:hAnsi="Times New Roman"/>
          <w:sz w:val="18"/>
          <w:szCs w:val="18"/>
        </w:rPr>
        <w:t xml:space="preserve">[10] Ribeiro, C.; Nunes, A. (2022). Métricas de avaliação em classificação. Editora Fictícia, São Paulo.</w:t>
      </w:r>
    </w:p>
    <w:p>
      <w:pPr>
        <w:spacing w:after="40" w:line="240"/>
        <w:ind w:left="360" w:hanging="360"/>
        <w:jc w:val="both"/>
      </w:pPr>
      <w:r>
        <w:rPr>
          <w:rFonts w:ascii="Times New Roman" w:cs="Times New Roman" w:eastAsia="Times New Roman" w:hAnsi="Times New Roman"/>
          <w:sz w:val="18"/>
          <w:szCs w:val="18"/>
        </w:rPr>
        <w:t xml:space="preserve">[11] Santos, L. (2024). Intervenções contra a evasão: uma revisão. Anais do Congresso Fictício de Educação, 300–314.</w:t>
      </w:r>
    </w:p>
    <w:p>
      <w:pPr>
        <w:spacing w:after="40" w:line="240"/>
        <w:ind w:left="360" w:hanging="360"/>
        <w:jc w:val="both"/>
      </w:pPr>
      <w:r>
        <w:rPr>
          <w:rFonts w:ascii="Times New Roman" w:cs="Times New Roman" w:eastAsia="Times New Roman" w:hAnsi="Times New Roman"/>
          <w:sz w:val="18"/>
          <w:szCs w:val="18"/>
        </w:rPr>
        <w:t xml:space="preserve">[12] Viana, M.; Torres, E. (2023). Analytics de aprendizagem em AVAs. Fictional Computers &amp; Education, 31, 55–74.</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24eb616d9ed7da97af8a74e05977c75b018513.png"/><Relationship Id="rId8" Type="http://schemas.openxmlformats.org/officeDocument/2006/relationships/image" Target="media/0a99dce8c6d18be3cfcd7fcc1e3e44b323d0b04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2026-07-01T12:46:41.199Z</dcterms:created>
  <dcterms:modified xsi:type="dcterms:W3CDTF">2026-07-01T12:46:41.199Z</dcterms:modified>
</cp:coreProperties>
</file>

<file path=docProps/custom.xml><?xml version="1.0" encoding="utf-8"?>
<Properties xmlns="http://schemas.openxmlformats.org/officeDocument/2006/custom-properties" xmlns:vt="http://schemas.openxmlformats.org/officeDocument/2006/docPropsVTypes"/>
</file>