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Práticas de Segurança em Times de Desenvolvimento de Software: Um Survey com Profissionais Brasileiros</w:t>
      </w:r>
    </w:p>
    <w:p>
      <w:pPr>
        <w:spacing w:after="80" w:before="0"/>
        <w:jc w:val="center"/>
      </w:pPr>
      <w:r>
        <w:rPr>
          <w:rFonts w:ascii="Times New Roman" w:cs="Times New Roman" w:eastAsia="Times New Roman" w:hAnsi="Times New Roman"/>
          <w:sz w:val="22"/>
          <w:szCs w:val="22"/>
        </w:rPr>
        <w:t xml:space="preserve">Ana Paula Ferreira¹, Carlos Eduardo Lima², Mariana Souza³</w:t>
      </w:r>
    </w:p>
    <w:p>
      <w:pPr>
        <w:spacing w:after="40" w:before="0"/>
        <w:jc w:val="center"/>
      </w:pPr>
      <w:r>
        <w:rPr>
          <w:rFonts w:ascii="Times New Roman" w:cs="Times New Roman" w:eastAsia="Times New Roman" w:hAnsi="Times New Roman"/>
          <w:i/>
          <w:iCs/>
          <w:sz w:val="18"/>
          <w:szCs w:val="18"/>
        </w:rPr>
        <w:t xml:space="preserve">¹Programa de Pós-Graduação em Ciência da Computação – Universidade X</w:t>
      </w:r>
    </w:p>
    <w:p>
      <w:pPr>
        <w:spacing w:after="40" w:before="0"/>
        <w:jc w:val="center"/>
      </w:pPr>
      <w:r>
        <w:rPr>
          <w:rFonts w:ascii="Times New Roman" w:cs="Times New Roman" w:eastAsia="Times New Roman" w:hAnsi="Times New Roman"/>
          <w:i/>
          <w:iCs/>
          <w:sz w:val="18"/>
          <w:szCs w:val="18"/>
        </w:rPr>
        <w:t xml:space="preserve">²Instituto de Computação – Universidade Y</w:t>
      </w:r>
    </w:p>
    <w:p>
      <w:pPr>
        <w:spacing w:after="40" w:before="0"/>
        <w:jc w:val="center"/>
      </w:pPr>
      <w:r>
        <w:rPr>
          <w:rFonts w:ascii="Times New Roman" w:cs="Times New Roman" w:eastAsia="Times New Roman" w:hAnsi="Times New Roman"/>
          <w:i/>
          <w:iCs/>
          <w:sz w:val="18"/>
          <w:szCs w:val="18"/>
        </w:rPr>
        <w:t xml:space="preserve">³Departamento de Engenharia de Software – Universidade Z</w:t>
      </w:r>
    </w:p>
    <w:p>
      <w:pPr>
        <w:spacing w:after="160" w:before="0"/>
        <w:jc w:val="center"/>
      </w:pPr>
      <w:r>
        <w:rPr>
          <w:rFonts w:ascii="Times New Roman" w:cs="Times New Roman" w:eastAsia="Times New Roman" w:hAnsi="Times New Roman"/>
          <w:sz w:val="18"/>
          <w:szCs w:val="18"/>
        </w:rPr>
        <w:t xml:space="preserve">ana.ferreira@univ-x.br, c.lima@univ-y.br, m.souza@univ-z.br</w:t>
      </w:r>
    </w:p>
    <w:p>
      <w:pPr>
        <w:pBdr>
          <w:bottom w:val="single" w:color="333333" w:sz="6" w:space="1"/>
        </w:pBdr>
        <w:spacing w:after="120" w:before="120"/>
      </w:pPr>
      <w:r>
        <w:t xml:space="preserve"/>
      </w:r>
    </w:p>
    <w:p>
      <w:pPr>
        <w:spacing w:after="80" w:before="0" w:line="240" w:lineRule="auto"/>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apresenta os resultados de um survey exploratório-descritivo sobre as práticas de segurança adotadas por profissionais de desenvolvimento de software no Brasil. O estudo investigou quais controles de segurança são efetivamente implementados, quais barreiras dificultam sua adoção e como o conhecimento sobre segurança é disseminado dentro das equipes. A coleta de dados foi realizada por meio de um questionário estruturado respondido por 312 profissionais recrutados via comunidades online de desenvolvimento. Os resultados indicam que práticas de segurança são percebidas como importantes pela maioria dos respondentes, mas apenas uma minoria reporta implementação sistemática de controles básicos. Análise de variância revelou diferença significativa (p &lt; 0,05) nas práticas adotadas entre equipes que possuem profissionais dedicados à segurança e equipes que não possuem. Este artigo foi construído com apoio de um modelo de linguagem de grande escala (LLM) com o objetivo de exemplificar as características do método survey para fins didáticos em cursos de pós-graduação em Computação.</w:t>
      </w:r>
    </w:p>
    <w:p>
      <w:pPr>
        <w:spacing w:after="160" w:before="0" w:line="240" w:lineRule="auto"/>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Survey; Segurança de Software; Práticas de Desenvolvimento; Questionário; Engenharia de Software Empírica.</w:t>
      </w:r>
    </w:p>
    <w:p>
      <w:pPr>
        <w:pBdr>
          <w:bottom w:val="single" w:color="333333" w:sz="6" w:space="1"/>
        </w:pBdr>
        <w:spacing w:after="12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1. INTRODUÇÃO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segurança de software é uma preocupação crescente na indústria e na academia. Vulnerabilidades introduzidas durante o desenvolvimento são uma das principais causas de incidentes de segurança, e evidências apontam que o custo de correção aumenta exponencialmente quando problemas são identificados tardiamente no ciclo de vida do software. Apesar disso, estudos anteriores sugerem que práticas de desenvolvimento seguro ainda são inconsistentemente adotadas, especialmente em organizações de médio e pequeno porte.</w:t>
      </w:r>
    </w:p>
    <w:p>
      <w:pPr>
        <w:spacing w:after="120" w:before="0" w:line="240" w:lineRule="auto"/>
        <w:ind/>
        <w:jc w:val="both"/>
      </w:pPr>
      <w:r>
        <w:rPr>
          <w:rFonts w:ascii="Times New Roman" w:cs="Times New Roman" w:eastAsia="Times New Roman" w:hAnsi="Times New Roman"/>
          <w:b w:val="false"/>
          <w:bCs w:val="false"/>
          <w:i/>
          <w:iCs/>
          <w:sz w:val="18"/>
          <w:szCs w:val="18"/>
        </w:rPr>
        <w:t xml:space="preserve">Nota sobre este artigo: Este texto foi construído com apoio de um modelo de linguagem de grande escala (LLM) com propósito exclusivamente didático. Os dados apresentados são fictícios e foram elaborados para ilustrar de forma realista as características do método survey em pesquisa empírica em Engenharia de Software. O leitor deve focar na estrutura do método, nas decisões metodológicas e na forma de apresentação dos resultados, e não no conteúdo substantivo sobre segurança.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Um survey é o método de pesquisa adequado quando o objetivo é descrever ou correlacionar atributos de uma população ampla a partir de uma amostra representativa (Kitchenham e Pfleeger, 2002). Quando queremos saber o que as pessoas fazem, pensam ou percebem em larga escala, o survey oferece alcance que entrevistas ou estudos de caso não podem proporcionar. Neste estudo, o fenômeno de interesse é a distribuição de práticas de segurança em times de desenvolvimento no Brasil — uma pergunta de natureza descritiva e de frequência que se alinha diretamente com as capacidades do método.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estudo é guiado pelas seguintes questões de pesquisa:</w:t>
      </w:r>
    </w:p>
    <w:p>
      <w:pPr>
        <w:shd w:fill="EBF5FB" w:val="clear"/>
        <w:spacing w:after="60" w:before="60" w:line="240" w:lineRule="auto"/>
        <w:ind w:left="360" w:right="360"/>
        <w:jc w:val="both"/>
      </w:pPr>
      <w:r>
        <w:rPr>
          <w:rFonts w:ascii="Times New Roman" w:cs="Times New Roman" w:eastAsia="Times New Roman" w:hAnsi="Times New Roman"/>
          <w:sz w:val="18"/>
          <w:szCs w:val="18"/>
        </w:rPr>
        <w:t xml:space="preserve">RQ1: Quais práticas de segurança de software são reportadas como adotadas por equipes de desenvolvimento de software no Brasil?</w:t>
      </w:r>
    </w:p>
    <w:p>
      <w:pPr>
        <w:shd w:fill="EBF5FB" w:val="clear"/>
        <w:spacing w:after="60" w:before="60" w:line="240" w:lineRule="auto"/>
        <w:ind w:left="360" w:right="360"/>
        <w:jc w:val="both"/>
      </w:pPr>
      <w:r>
        <w:rPr>
          <w:rFonts w:ascii="Times New Roman" w:cs="Times New Roman" w:eastAsia="Times New Roman" w:hAnsi="Times New Roman"/>
          <w:sz w:val="18"/>
          <w:szCs w:val="18"/>
        </w:rPr>
        <w:t xml:space="preserve">RQ2: Quais são as principais barreiras percebidas para a adoção de práticas de segurança durante o desenvolvimento?</w:t>
      </w:r>
    </w:p>
    <w:p>
      <w:pPr>
        <w:shd w:fill="EBF5FB" w:val="clear"/>
        <w:spacing w:after="60" w:before="60" w:line="240" w:lineRule="auto"/>
        <w:ind w:left="360" w:right="360"/>
        <w:jc w:val="both"/>
      </w:pPr>
      <w:r>
        <w:rPr>
          <w:rFonts w:ascii="Times New Roman" w:cs="Times New Roman" w:eastAsia="Times New Roman" w:hAnsi="Times New Roman"/>
          <w:sz w:val="18"/>
          <w:szCs w:val="18"/>
        </w:rPr>
        <w:t xml:space="preserve">RQ3: Existe diferença estatisticamente significativa nas práticas adotadas entre equipes com e sem profissional dedicado à segurança?</w:t>
      </w:r>
    </w:p>
    <w:p>
      <w:pPr>
        <w:spacing w:after="0" w:before="8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RQ1 e RQ2 são perguntas de descrição e classificação: buscamos mapear o que existe e como se distribuem os fenômenos na população. RQ3 é uma pergunta de relação: investigamos se uma variável (presença de profissional de segurança) se correlaciona com outra (adoção de práticas). O survey com questionário estruturado é o instrumento natural para responder a esse conjunto de perguntas, pois permite a coleta padronizada de dados de uma grande quantidade de respondentes e viabiliza inferências estatísticas sobre a população.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contribuição deste trabalho é um diagnóstico empírico do estado da segurança em times de desenvolvimento no Brasil, com dados coletados de forma sistemática e analisados quantitativamente, em contraste com estudos anteriores de caráter anedótico ou baseados em amostras de conveniência não sistematizadas.</w:t>
      </w:r>
    </w:p>
    <w:p>
      <w:pPr>
        <w:spacing w:after="120" w:before="240" w:line="240" w:lineRule="auto"/>
        <w:jc w:val="left"/>
      </w:pPr>
      <w:r>
        <w:rPr>
          <w:rFonts w:ascii="Times New Roman" w:cs="Times New Roman" w:eastAsia="Times New Roman" w:hAnsi="Times New Roman"/>
          <w:b/>
          <w:bCs/>
          <w:sz w:val="22"/>
          <w:szCs w:val="22"/>
        </w:rPr>
        <w:t xml:space="preserve">2. MÉTODO</w:t>
      </w:r>
    </w:p>
    <w:p>
      <w:pPr>
        <w:spacing w:after="80" w:before="160" w:line="240" w:lineRule="auto"/>
        <w:jc w:val="left"/>
      </w:pPr>
      <w:r>
        <w:rPr>
          <w:rFonts w:ascii="Times New Roman" w:cs="Times New Roman" w:eastAsia="Times New Roman" w:hAnsi="Times New Roman"/>
          <w:b/>
          <w:bCs/>
          <w:i/>
          <w:iCs/>
          <w:sz w:val="20"/>
          <w:szCs w:val="20"/>
        </w:rPr>
        <w:t xml:space="preserve">2.1 Posicionamento Filosófico e Design do Estudo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estudo adota um posicionamento filosófico pós-positivista (Creswell, 2014). Partimos do pressuposto de que existe uma realidade objetiva sobre as práticas de segurança adotadas por times de desenvolvimento, e que essa realidade pode ser medida com razoável precisão por meio de instrumentos padronizados. Reconhecemos, contudo, que medidas de autopercepção estão sujeitas a vieses cognitivos e sociais, e tratamos isso como uma limitação a ser reportada, não como razão para rejeitar o método.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design é um survey transversal (cross-sectional): coletamos dados em um único momento para descrever o estado atual das práticas. Essa escolha é coerente com RQ1 e RQ2, que perguntam sobre o estado presente, não sobre mudanças ao longo do tempo. Um design longitudinal seria necessário se quiséssemos investigar, por exemplo, se as práticas melhoram após um treinamento.</w:t>
      </w:r>
    </w:p>
    <w:p>
      <w:pPr>
        <w:shd w:fill="FEF9E7" w:val="clear"/>
        <w:spacing w:after="60" w:before="100"/>
        <w:ind w:left="360" w:right="360"/>
        <w:jc w:val="center"/>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 design transversal foi escolhido porque o fenômeno de interesse (estado atual das práticas) não requer acompanhamento temporal. Designs longitudinais aumentam o custo do estudo e introduzem problemas de atrito amostral (participantes que abandonam o estudo ao longo do tempo) sem adicionar valor às RQs definidas.</w:t>
      </w:r>
    </w:p>
    <w:p>
      <w:pPr>
        <w:spacing w:after="80" w:before="160" w:line="240" w:lineRule="auto"/>
        <w:jc w:val="left"/>
      </w:pPr>
      <w:r>
        <w:rPr>
          <w:rFonts w:ascii="Times New Roman" w:cs="Times New Roman" w:eastAsia="Times New Roman" w:hAnsi="Times New Roman"/>
          <w:b/>
          <w:bCs/>
          <w:i/>
          <w:iCs/>
          <w:sz w:val="20"/>
          <w:szCs w:val="20"/>
        </w:rPr>
        <w:t xml:space="preserve">2.2 Instrumento de Coleta: o Questionário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instrumento foi desenvolvido em três fases: (i) geração de itens a partir da literatura sobre desenvolvimento seguro e frameworks de referência como o OWASP Software Assurance Maturity Model (SAMM); (ii) validação de conteúdo por três especialistas com experiência em segurança de software; e (iii) estudo piloto com 18 profissionais para avaliação de clareza e tempo de resposta.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questionário final continha 42 itens organizados em quatro seções: (a) perfil do respondente e da organização (8 itens); (b) práticas de segurança adotadas — escala Likert de 5 pontos, de 'Nunca' a 'Sempre' (20 itens); (c) barreiras percebidas — escala de 4 pontos, de 'Não é barreira' a 'Barreira muito significativa' (10 itens); (d) mecanismos de disseminação de conhecimento sobre segurança na equipe (4 itens).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Para a seção de práticas, utilizamos escalas Likert porque queríamos capturar gradações de frequência, não apenas a presença ou ausência de uma prática. Respostas dicotômicas (sim/não) seriam mais simples de analisar, mas perderiam informação sobre a regularidade com que as práticas são aplicadas.</w:t>
      </w:r>
    </w:p>
    <w:p>
      <w:pPr>
        <w:shd w:fill="FEF9E7" w:val="clear"/>
        <w:spacing w:after="60" w:before="100"/>
        <w:ind w:left="360" w:right="360"/>
        <w:jc w:val="center"/>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 estudo piloto é uma etapa frequentemente omitida por restrições de tempo, mas é essencial para identificar itens ambíguos antes que o questionário seja aplicado em larga escala. No piloto, identificamos dois itens com taxa de não-resposta superior a 30%, o que indicou problemas de compreensão; esses itens foram reformulados antes da aplicação final.</w:t>
      </w:r>
    </w:p>
    <w:p>
      <w:pPr>
        <w:spacing w:after="80" w:before="160" w:line="240" w:lineRule="auto"/>
        <w:jc w:val="left"/>
      </w:pPr>
      <w:r>
        <w:rPr>
          <w:rFonts w:ascii="Times New Roman" w:cs="Times New Roman" w:eastAsia="Times New Roman" w:hAnsi="Times New Roman"/>
          <w:b/>
          <w:bCs/>
          <w:i/>
          <w:iCs/>
          <w:sz w:val="20"/>
          <w:szCs w:val="20"/>
        </w:rPr>
        <w:t xml:space="preserve">2.3 Amostragem e Coleta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população-alvo do estudo foi definida como profissionais de desenvolvimento de software atuando no Brasil, com pelo menos seis meses de experiência em projetos de software. A amostragem foi realizada de forma não probabilística por conveniência, com divulgação por redes sociais profissionais (LinkedIn), comunidades online de desenvolvimento (fóruns, grupos no Discord e Slack) e listas de e-mail de grupos de usuários de tecnologia.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Reconhecemos que a amostragem por conveniência é uma limitação importante (ver Seção 5). A escolha foi pragmática: não existe um cadastro completo de desenvolvedores no Brasil que permita amostragem probabilística. Esse é um problema estrutural recorrente em surveys sobre profissionais de TI.</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coleta ocorreu entre março e maio de 2023, por meio de formulário online. O link de acesso permaneceu ativo por 45 dias. Foram obtidas 389 respostas, das quais 312 foram consideradas válidas após exclusão de questionários incompletos (menos de 80% de itens respondidos) e de respondentes que não atendiam ao critério de inclusão.</w:t>
      </w:r>
    </w:p>
    <w:p>
      <w:pPr>
        <w:spacing w:after="60" w:before="120"/>
        <w:jc w:val="center"/>
      </w:pPr>
      <w:r>
        <w:rPr>
          <w:rFonts w:ascii="Times New Roman" w:cs="Times New Roman" w:eastAsia="Times New Roman" w:hAnsi="Times New Roman"/>
          <w:b/>
          <w:bCs/>
          <w:sz w:val="18"/>
          <w:szCs w:val="18"/>
        </w:rPr>
        <w:t xml:space="preserve">Tabela 1. Perfil dos Respondentes (N=312)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2"/>
        <w:gridCol w:w="2721"/>
        <w:gridCol w:w="2268"/>
      </w:tblGrid>
      <w:tr>
        <w:tc>
          <w:tcPr>
            <w:tcW w:type="dxa" w:w="4082"/>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Característica</w:t>
            </w:r>
          </w:p>
        </w:tc>
        <w:tc>
          <w:tcPr>
            <w:tcW w:type="dxa" w:w="2721"/>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Categoria</w:t>
            </w:r>
          </w:p>
        </w:tc>
        <w:tc>
          <w:tcPr>
            <w:tcW w:type="dxa" w:w="226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 (%)</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Tempo de experiência</w:t>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&lt; 2 anos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61 (19,6%)</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2–5 anos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112 (35,9%)</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6–10 anos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89 (28,5%)</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&gt; 10 anos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50 (16,0%)</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Tamanho da equipe</w:t>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1–5 pessoas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98 (31,4%)</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6–20 pessoas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141 (45,2%)</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&gt; 20 pessoas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73 (23,4%)</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Profissional dedicado à segurança na equipe</w:t>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Sim</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87 (27,9%)</w:t>
            </w:r>
          </w:p>
        </w:tc>
      </w:tr>
      <w:tr>
        <w:tc>
          <w:tcPr>
            <w:tcW w:type="dxa" w:w="408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Não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225 (72,1%)</w:t>
            </w:r>
          </w:p>
        </w:tc>
      </w:tr>
    </w:tbl>
    <w:p>
      <w:pPr>
        <w:spacing w:after="0" w:before="60"/>
      </w:pPr>
      <w:r>
        <w:t xml:space="preserve"/>
      </w:r>
    </w:p>
    <w:p>
      <w:pPr>
        <w:spacing w:after="80" w:before="160" w:line="240" w:lineRule="auto"/>
        <w:jc w:val="left"/>
      </w:pPr>
      <w:r>
        <w:rPr>
          <w:rFonts w:ascii="Times New Roman" w:cs="Times New Roman" w:eastAsia="Times New Roman" w:hAnsi="Times New Roman"/>
          <w:b/>
          <w:bCs/>
          <w:i/>
          <w:iCs/>
          <w:sz w:val="20"/>
          <w:szCs w:val="20"/>
        </w:rPr>
        <w:t xml:space="preserve">2.4 Análise dos Dados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análise seguiu três etapas. Primeiro, estatísticas descritivas (médias, medianas, desvios padrão e distribuições de frequência) foram calculadas para caracterizar a amostra e responder a RQ1 e RQ2. Segundo, para cada prática da seção (b), calculamos um índice de adoção somando as proporções de respostas 'Frequentemente' e 'Sempre', o que nos permitiu rankear as práticas por nível de implementação. Terceiro, para RQ3, aplicamos o teste de Mann-Whitney U — uma alternativa não paramétrica ao teste t — para comparar os escores de adoção entre os dois grupos (com e sem profissional de segurança). A escolha pelo teste não paramétrico se justifica pela distribuição assimétrica dos dados de adoção, verificada por meio do teste de Shapiro-Wilk (p &lt; 0,001).</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Para controle da taxa de erro tipo I em comparações múltiplas, aplicamos a correção de Bonferroni, ajustando o nível de significância para α = 0,0025 (0,05 / 20 práticas avaliadas). A análise foi conduzida em R versão 4.3.1.</w:t>
      </w:r>
    </w:p>
    <w:p>
      <w:pPr>
        <w:spacing w:after="120" w:before="240" w:line="240" w:lineRule="auto"/>
        <w:jc w:val="left"/>
      </w:pPr>
      <w:r>
        <w:rPr>
          <w:rFonts w:ascii="Times New Roman" w:cs="Times New Roman" w:eastAsia="Times New Roman" w:hAnsi="Times New Roman"/>
          <w:b/>
          <w:bCs/>
          <w:sz w:val="22"/>
          <w:szCs w:val="22"/>
        </w:rPr>
        <w:t xml:space="preserve">3. RESULTADOS</w:t>
      </w:r>
    </w:p>
    <w:p>
      <w:pPr>
        <w:spacing w:after="80" w:before="160" w:line="240" w:lineRule="auto"/>
        <w:jc w:val="left"/>
      </w:pPr>
      <w:r>
        <w:rPr>
          <w:rFonts w:ascii="Times New Roman" w:cs="Times New Roman" w:eastAsia="Times New Roman" w:hAnsi="Times New Roman"/>
          <w:b/>
          <w:bCs/>
          <w:i/>
          <w:iCs/>
          <w:sz w:val="20"/>
          <w:szCs w:val="20"/>
        </w:rPr>
        <w:t xml:space="preserve">3.1 RQ1 – Práticas de Segurança Adotadas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Tabela 2 apresenta o índice de adoção para as vinte práticas investigadas, ordenadas da mais para a menos adotada. O índice representa a proporção de respondentes que reportaram aplicar a prática 'frequentemente' ou 'sempre'.</w:t>
      </w:r>
    </w:p>
    <w:p>
      <w:pPr>
        <w:spacing w:after="60" w:before="120"/>
        <w:jc w:val="center"/>
      </w:pPr>
      <w:r>
        <w:rPr>
          <w:rFonts w:ascii="Times New Roman" w:cs="Times New Roman" w:eastAsia="Times New Roman" w:hAnsi="Times New Roman"/>
          <w:b/>
          <w:bCs/>
          <w:sz w:val="18"/>
          <w:szCs w:val="18"/>
        </w:rPr>
        <w:t xml:space="preserve">Tabela 2. Índice de Adoção das Práticas de Segurança (N=312)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89"/>
        <w:gridCol w:w="2268"/>
        <w:gridCol w:w="1814"/>
      </w:tblGrid>
      <w:tr>
        <w:tc>
          <w:tcPr>
            <w:tcW w:type="dxa" w:w="4989"/>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Prática de Segurança</w:t>
            </w:r>
          </w:p>
        </w:tc>
        <w:tc>
          <w:tcPr>
            <w:tcW w:type="dxa" w:w="226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Índice de Adoção (%)</w:t>
            </w:r>
          </w:p>
        </w:tc>
        <w:tc>
          <w:tcPr>
            <w:tcW w:type="dxa" w:w="181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Mediana (Likert)</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Uso de gerenciador de senhas ou vault de credenciais</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71,2%</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4,1</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Autenticação multifator (MFA) em repositórios de código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68,9%</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4,0</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Revisão de código com foco em segurança (security code review)</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48,1%</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3,2</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Modelagem de ameaças (threat modeling)</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34,6%</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2,8</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Análise estática de código automatizada (SAST) no pipeline CI/CD</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31,1%</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2,5</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Treinamento formal em segurança para a equipe de desenvolvimento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28,5%</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2,3</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Testes de penetração periódicos (pen testing)</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24,0%</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2,1</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Definição formal de requisitos de segurança na fase de design</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21,8%</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2,0</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Verificação de dependências vulneráveis (SCA) automatizada</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19,9%</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1,9</w:t>
            </w:r>
          </w:p>
        </w:tc>
      </w:tr>
      <w:tr>
        <w:tc>
          <w:tcPr>
            <w:tcW w:type="dxa" w:w="4989"/>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Políticas formais de ciclo de vida de segurança (SDL/S-SDLC)</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12,2%</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1,5</w:t>
            </w:r>
          </w:p>
        </w:tc>
      </w:tr>
    </w:tbl>
    <w:p>
      <w:pPr>
        <w:spacing w:after="0" w:before="6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Os resultados revelam um padrão claro: práticas de controle de acesso e gestão de credenciais — que podem ser implementadas individualmente, sem coordenação de equipe, e independem do processo de desenvolvimento — apresentam índices de adoção acima de 65%. Em contraste, práticas que demandam integração ao fluxo de trabalho coletivo e conhecimento técnico especializado (SAST, modelagem de ameaças, requisitos de segurança em design) ficam entre 20% e 35%.</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Esse padrão sugere que a adoção de segurança em desenvolvimento não é homogênea: ela segue uma lógica de custo-benefício percebido. Práticas de acesso têm custo de adoção baixo e benefício imediatamente visível (proteção de contas); práticas de processo têm custo alto (tempo, treinamento, coordenação) e benefício difuso e de longo prazo. Esse perfil é consistente com modelos comportamentais de adoção de tecnologia, nos quais a complexidade percebida é um preditor negativo da adoção.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Merece destaque o resultado sobre verificação de dependências vulneráveis (SCA): apenas 19,9% dos respondentes relatam uso sistemático de ferramentas de análise de componentes, o que é preocupante dado o crescimento expressivo de ataques à cadeia de suprimentos de software nos últimos anos. A baixa adoção pode refletir tanto falta de conhecimento sobre as ferramentas disponíveis quanto ausência de políticas organizacionais que tornem essa verificação obrigatória.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Ao agrupar as vinte práticas em três categorias — controle de acesso, atividades de processo (design e revisão) e automação no pipeline — observamos médias de adoção de 70,1%, 36,3% e 25,6%, respectivamente. Essa estratificação reforça a interpretação de que a lacuna de segurança em desenvolvimento não está nos controles mais visíveis, mas exatamente nas práticas que têm maior potencial de prevenir vulnerabilidades antes que o código chegue à produção.</w:t>
      </w:r>
    </w:p>
    <w:p>
      <w:pPr>
        <w:spacing w:after="80" w:before="160" w:line="240" w:lineRule="auto"/>
        <w:jc w:val="left"/>
      </w:pPr>
      <w:r>
        <w:rPr>
          <w:rFonts w:ascii="Times New Roman" w:cs="Times New Roman" w:eastAsia="Times New Roman" w:hAnsi="Times New Roman"/>
          <w:b/>
          <w:bCs/>
          <w:i/>
          <w:iCs/>
          <w:sz w:val="20"/>
          <w:szCs w:val="20"/>
        </w:rPr>
        <w:t xml:space="preserve">3.2 RQ2 – Barreiras à Adoção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Tabela 3 apresenta as barreiras percebidas pelos respondentes, classificadas pelo escore médio em escala de 1 (não é barreira) a 4 (barreira muito significativa).</w:t>
      </w:r>
    </w:p>
    <w:p>
      <w:pPr>
        <w:spacing w:after="60" w:before="120"/>
        <w:jc w:val="center"/>
      </w:pPr>
      <w:r>
        <w:rPr>
          <w:rFonts w:ascii="Times New Roman" w:cs="Times New Roman" w:eastAsia="Times New Roman" w:hAnsi="Times New Roman"/>
          <w:b/>
          <w:bCs/>
          <w:sz w:val="18"/>
          <w:szCs w:val="18"/>
        </w:rPr>
        <w:t xml:space="preserve">Tabela 3. Barreiras Percebidas à Adoção de Práticas de Segurança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896"/>
        <w:gridCol w:w="1814"/>
        <w:gridCol w:w="1361"/>
      </w:tblGrid>
      <w:tr>
        <w:tc>
          <w:tcPr>
            <w:tcW w:type="dxa" w:w="58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Barreira</w:t>
            </w:r>
          </w:p>
        </w:tc>
        <w:tc>
          <w:tcPr>
            <w:tcW w:type="dxa" w:w="181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Média (1–4)</w:t>
            </w:r>
          </w:p>
        </w:tc>
        <w:tc>
          <w:tcPr>
            <w:tcW w:type="dxa" w:w="1361"/>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DP</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Falta de tempo no ciclo de desenvolvimento</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3,41</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0,72</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Falta de conhecimento ou treinamento específico</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3,28</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0,81</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Priorização de funcionalidades em detrimento de segurança</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3,19</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0,78</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Falta de apoio ou priorização pela gestão</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2,94</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0,91</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Percepção de que a responsabilidade é de outra área (ex.: equipe de infra)</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2,71</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1,02</w:t>
            </w:r>
          </w:p>
        </w:tc>
      </w:tr>
      <w:tr>
        <w:tc>
          <w:tcPr>
            <w:tcW w:type="dxa" w:w="58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Ferramentas de segurança difíceis de integrar ao fluxo de trabalho existente</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2,63</w:t>
            </w:r>
          </w:p>
        </w:tc>
        <w:tc>
          <w:tcPr>
            <w:tcW w:type="dxa" w:w="136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0,88</w:t>
            </w:r>
          </w:p>
        </w:tc>
      </w:tr>
    </w:tbl>
    <w:p>
      <w:pPr>
        <w:spacing w:after="0" w:before="6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Falta de tempo e falta de conhecimento são as barreiras mais significativas, com médias de 3,41 e 3,28, respectivamente. A alta percepção da barreira de tempo (DP = 0,72, o menor desvio da tabela) indica que esse é um problema amplamente compartilhado e pouco contestado: há consenso entre os respondentes de que o ritmo dos ciclos de entrega comprime o espaço para atividades de segurança.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barreira de priorização de funcionalidades (média 3,19) revela uma tensão estrutural: em contextos onde o valor percebido pelo cliente é medido em funcionalidades entregues, e não em ausência de vulnerabilidades, a segurança tende a ser sistematicamente adiada. Esse comportamento é racional do ponto de vista individual — funcionalidades são visíveis; vulnerabilidades não exploradas são invisíveis — mas produz externalidades negativas para a organização e para os usuários.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Notavelmente, a barreira de 'percepção de que a responsabilidade é de outra área' apresentou o maior desvio padrão (DP = 1,02), indicando polarização nas respostas: alguns respondentes não reconhecem isso como barreira alguma, enquanto outros a percebem como muito significativa. Essa variância pode refletir diferenças na cultura organizacional: em organizações com práticas maduras de DevSecOps, a responsabilidade por segurança é integrada ao time de desenvolvimento; em organizações mais tradicionais, ela permanece departamentalizada em equipes de segurança ou infraestrutura. O achado sugere que o problema de 'responsabilidade difusa' não é universal, mas sim dependente do modelo organizacional adotado.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barreira de integração de ferramentas (média 2,63) é a menos percebida do conjunto, mas é teoricamente interessante: ela indica que o problema não é primariamente técnico — ferramentas de SAST e SCA existem, são acessíveis e relativamente maduras — mas sim organizacional e cultural. Esse dado contesta a narrativa de que investimento em ferramentas é suficiente para melhorar a postura de segurança.</w:t>
      </w:r>
    </w:p>
    <w:p>
      <w:pPr>
        <w:spacing w:after="80" w:before="160" w:line="240" w:lineRule="auto"/>
        <w:jc w:val="left"/>
      </w:pPr>
      <w:r>
        <w:rPr>
          <w:rFonts w:ascii="Times New Roman" w:cs="Times New Roman" w:eastAsia="Times New Roman" w:hAnsi="Times New Roman"/>
          <w:b/>
          <w:bCs/>
          <w:i/>
          <w:iCs/>
          <w:sz w:val="20"/>
          <w:szCs w:val="20"/>
        </w:rPr>
        <w:t xml:space="preserve">3.3 RQ3 – Diferença entre Equipes com e sem Especialista em Segurança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Aplicamos o teste de Mann-Whitney U para comparar o índice médio de adoção de práticas entre equipes com profissional dedicado à segurança (n=87, Mdn=0,52) e equipes sem tal profissional (n=225, Mdn=0,31). O teste indicou diferença estatisticamente significativa (U = 5.847, p &lt; 0,001, r = 0,38), com tamanho de efeito moderado segundo a classificação de Cohen.</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Tabela 4 detalha a diferença por categoria de prática, mostrando que a disparidade é mais pronunciada para práticas que requerem conhecimento técnico especializado (SAST, modelagem de ameaças, pen testing) do que para práticas de acesso e infraestrutura (MFA, gestão de senhas).</w:t>
      </w:r>
    </w:p>
    <w:p>
      <w:pPr>
        <w:spacing w:after="60" w:before="120"/>
        <w:jc w:val="center"/>
      </w:pPr>
      <w:r>
        <w:rPr>
          <w:rFonts w:ascii="Times New Roman" w:cs="Times New Roman" w:eastAsia="Times New Roman" w:hAnsi="Times New Roman"/>
          <w:b/>
          <w:bCs/>
          <w:sz w:val="18"/>
          <w:szCs w:val="18"/>
        </w:rPr>
        <w:t xml:space="preserve">Tabela 4. Comparação do Índice de Adoção por Grupo (RQ3)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996"/>
        <w:gridCol w:w="1996"/>
        <w:gridCol w:w="1451"/>
      </w:tblGrid>
      <w:tr>
        <w:tc>
          <w:tcPr>
            <w:tcW w:type="dxa" w:w="362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Categoria de Prática</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Com especialista (n=87)</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Sem especialista (n=225)</w:t>
            </w:r>
          </w:p>
        </w:tc>
        <w:tc>
          <w:tcPr>
            <w:tcW w:type="dxa" w:w="1451"/>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p-valor*</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Práticas de acesso e infraestrutura</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74,3%</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69,1%</w:t>
            </w:r>
          </w:p>
        </w:tc>
        <w:tc>
          <w:tcPr>
            <w:tcW w:type="dxa" w:w="145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0,18</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Code review com foco em segurança</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67,8%</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41,2%</w:t>
            </w:r>
          </w:p>
        </w:tc>
        <w:tc>
          <w:tcPr>
            <w:tcW w:type="dxa" w:w="145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&lt; 0,001</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Análise estática automatizada (SAST)</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58,6%</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20,4%</w:t>
            </w:r>
          </w:p>
        </w:tc>
        <w:tc>
          <w:tcPr>
            <w:tcW w:type="dxa" w:w="145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&lt; 0,001</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Modelagem de ameaças</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61,2%</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24,9%</w:t>
            </w:r>
          </w:p>
        </w:tc>
        <w:tc>
          <w:tcPr>
            <w:tcW w:type="dxa" w:w="145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&lt; 0,001</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Políticas formais de S-SDLC</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31,0%</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6,2%</w:t>
            </w:r>
          </w:p>
        </w:tc>
        <w:tc>
          <w:tcPr>
            <w:tcW w:type="dxa" w:w="145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&lt; 0,001</w:t>
            </w:r>
          </w:p>
        </w:tc>
      </w:tr>
    </w:tbl>
    <w:p>
      <w:pPr>
        <w:spacing w:after="80" w:before="40"/>
        <w:jc w:val="left"/>
      </w:pPr>
      <w:r>
        <w:rPr>
          <w:rFonts w:ascii="Times New Roman" w:cs="Times New Roman" w:eastAsia="Times New Roman" w:hAnsi="Times New Roman"/>
          <w:i/>
          <w:iCs/>
          <w:sz w:val="18"/>
          <w:szCs w:val="18"/>
        </w:rPr>
        <w:t xml:space="preserve">* Ajustado por correção de Bonferroni (α = 0,0025). Valores abaixo deste limiar são considerados significativos.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Esses dados revelam um padrão importante: a presença de um especialista de segurança está associada a uma adoção significativamente maior de práticas que demandam conhecimento técnico especializado — modelagem de ameaças (+36,3 pontos percentuais), SAST (+38,2 p.p.), code review com foco em segurança (+26,6 p.p.) e políticas formais de S-SDLC (+24,8 p.p.). Em contraste, para práticas de controle de acesso e infraestrutura, a diferença entre os grupos é de apenas 5,2 pontos percentuais e não atinge significância estatística (p = 0,18).</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Essa assimetria tem uma interpretação plausível: práticas de controle de acesso são de domínio mais amplo e podem ser implementadas por qualquer membro da equipe com orientação mínima — elas pertencem ao repertório geral de 'boas práticas de TI' e não requerem especialista. Práticas de processo de segurança, por outro lado, demandam conhecimento de modelagem de ameaças, análise de vulnerabilidades e configuração de pipelines de segurança — competências que, na ausência de um especialista, simplesmente não estão disponíveis na equipe.</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tamanho de efeito moderado (r = 0,38) merece atenção: ele indica que a presença do especialista explica parte, mas não toda a variância na adoção. Outros fatores — tamanho da organização, setor, maturidade de processos, cultura organizacional — certamente contribuem. Isso é esperado: o especialista é uma condição facilitadora, não suficiente.</w:t>
      </w:r>
    </w:p>
    <w:p>
      <w:pPr>
        <w:spacing w:after="120" w:before="240" w:line="240" w:lineRule="auto"/>
        <w:jc w:val="left"/>
      </w:pPr>
      <w:r>
        <w:rPr>
          <w:rFonts w:ascii="Times New Roman" w:cs="Times New Roman" w:eastAsia="Times New Roman" w:hAnsi="Times New Roman"/>
          <w:b/>
          <w:bCs/>
          <w:sz w:val="22"/>
          <w:szCs w:val="22"/>
        </w:rPr>
        <w:t xml:space="preserve">4. DISCUSSÃO</w:t>
      </w:r>
    </w:p>
    <w:p>
      <w:pPr>
        <w:spacing w:after="80" w:before="160" w:line="240" w:lineRule="auto"/>
        <w:jc w:val="left"/>
      </w:pPr>
      <w:r>
        <w:rPr>
          <w:rFonts w:ascii="Times New Roman" w:cs="Times New Roman" w:eastAsia="Times New Roman" w:hAnsi="Times New Roman"/>
          <w:b/>
          <w:bCs/>
          <w:i/>
          <w:iCs/>
          <w:sz w:val="20"/>
          <w:szCs w:val="20"/>
        </w:rPr>
        <w:t xml:space="preserve">4.1 O Padrão de Adoção Estratificada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Os três conjuntos de resultados convergem para um diagnóstico coerente: a adoção de segurança em times de desenvolvimento no Brasil é estratificada por complexidade e visibilidade. Práticas de baixa complexidade operacional e alto valor de sinalização (MFA, gestão de credenciais) têm boa penetração. Práticas de alta complexidade, baixa visibilidade imediata e alto custo de coordenação (modelagem de ameaças, S-SDLC, SAST integrado) permanecem marginais mesmo entre profissionais que as reconhecem como importantes.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Esse padrão tem implicações diretas para quem desenha intervenções. Treinamentos genéricos de conscientização em segurança tendem a reforçar práticas que já têm boa adoção — e a não mover o ponteiro nas práticas que realmente fazem diferença. Intervenções mais efetivas provavelmente precisam atuar em dois eixos simultaneamente: reduzir a barreira de conhecimento técnico (formação em modelagem de ameaças, uso de SAST) e reduzir a barreira de tempo, o que passa necessariamente por mudanças no nível organizacional — definição de políticas, alocação de tempo no sprint, integração ao pipeline de CI/CD.</w:t>
      </w:r>
    </w:p>
    <w:p>
      <w:pPr>
        <w:spacing w:after="80" w:before="160" w:line="240" w:lineRule="auto"/>
        <w:jc w:val="left"/>
      </w:pPr>
      <w:r>
        <w:rPr>
          <w:rFonts w:ascii="Times New Roman" w:cs="Times New Roman" w:eastAsia="Times New Roman" w:hAnsi="Times New Roman"/>
          <w:b/>
          <w:bCs/>
          <w:i/>
          <w:iCs/>
          <w:sz w:val="20"/>
          <w:szCs w:val="20"/>
        </w:rPr>
        <w:t xml:space="preserve">4.2 O Papel do Especialista: Habilitador, não Salvaguarda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achado de RQ3 convida a uma reflexão sobre modelos organizacionais de segurança. A associação significativa entre presença de especialista e adoção de práticas técnicas avançadas pode ser interpretada de duas maneiras não excludentes: o especialista habilita a equipe ao transferir conhecimento e ao configurar ferramentas e processos; ou o especialista serve como 'proxy' de uma organização que já valoriza segurança, e que teria alta adoção de práticas independentemente do especialista.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primeira interpretação sugere que contratar especialistas é uma alavanca efetiva. A segunda sugere que especialistas são sintomas de uma cultura de segurança, não sua causa. O design transversal deste survey não permite distinguir entre as duas hipóteses. Para isso, seria necessário um estudo longitudinal que acompanhasse equipes antes e depois de diferentes intervenções — contratação de especialista, treinamento em equipe, adoção de políticas formais — e medisse mudanças nas práticas ao longo do tempo.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dado de que práticas de acesso não diferem entre os grupos (p = 0,18) é, nesse sentido, elucidativo: ele sugere que para práticas de baixa complexidade, a cultura organizacional geral já é suficiente para garantir adoção — o especialista não é fator discriminante. A diferença se manifesta exatamente onde o conhecimento técnico é escasso e onde, sem um agente especializado, a equipe simplesmente não sabe como proceder.</w:t>
      </w:r>
    </w:p>
    <w:p>
      <w:pPr>
        <w:spacing w:after="80" w:before="160" w:line="240" w:lineRule="auto"/>
        <w:jc w:val="left"/>
      </w:pPr>
      <w:r>
        <w:rPr>
          <w:rFonts w:ascii="Times New Roman" w:cs="Times New Roman" w:eastAsia="Times New Roman" w:hAnsi="Times New Roman"/>
          <w:b/>
          <w:bCs/>
          <w:i/>
          <w:iCs/>
          <w:sz w:val="20"/>
          <w:szCs w:val="20"/>
        </w:rPr>
        <w:t xml:space="preserve">4.3 Implicações para Pesquisa e Prática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Para pesquisadores, este estudo oferece uma linha de base descritiva sobre o estado das práticas de segurança em desenvolvimento no Brasil, que pode ser usada como referência para estudos futuros. A replicação do survey em diferentes anos permitiria rastrear tendências longitudinais. A comparação com amostras de outros países permitiria situar o contexto brasileiro no panorama global.</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Para profissionais e gestores, os dados apontam para uma hierarquia de intervenções: antes de investir em ferramentas sofisticadas de segurança, organizações com baixa maturidade em S-SDLC deveriam endereçar as barreiras de conhecimento e tempo — que são mais prevalentes e mais controláveis. A criação de papéis dedicados à segurança (mesmo que parcial, como um 'security champion' dentro do time de desenvolvimento) aparece como um caminho promissor, dada a associação observada entre especialização e adoção de práticas técnicas.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É importante destacar, contudo, que a validade dessas recomendações é limitada pela natureza associativa e transversal dos dados. Elas representam hipóteses plausíveis a serem testadas em estudos com designs mais fortes, não prescrições baseadas em evidência de causalidade.</w:t>
      </w:r>
    </w:p>
    <w:p>
      <w:pPr>
        <w:spacing w:after="120" w:before="240" w:line="240" w:lineRule="auto"/>
        <w:jc w:val="left"/>
      </w:pPr>
      <w:r>
        <w:rPr>
          <w:rFonts w:ascii="Times New Roman" w:cs="Times New Roman" w:eastAsia="Times New Roman" w:hAnsi="Times New Roman"/>
          <w:b/>
          <w:bCs/>
          <w:sz w:val="22"/>
          <w:szCs w:val="22"/>
        </w:rPr>
        <w:t xml:space="preserve">5. LIMITAÇÕES E AMEAÇAS À VALIDADE</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Esta seção segue a taxonomia de validade proposta por Wohlin et al. (2012), adaptada para surveys.</w:t>
      </w:r>
    </w:p>
    <w:p>
      <w:pPr>
        <w:spacing w:after="80" w:before="160" w:line="240" w:lineRule="auto"/>
        <w:jc w:val="left"/>
      </w:pPr>
      <w:r>
        <w:rPr>
          <w:rFonts w:ascii="Times New Roman" w:cs="Times New Roman" w:eastAsia="Times New Roman" w:hAnsi="Times New Roman"/>
          <w:b/>
          <w:bCs/>
          <w:i/>
          <w:iCs/>
          <w:sz w:val="20"/>
          <w:szCs w:val="20"/>
        </w:rPr>
        <w:t xml:space="preserve">5.1 Validade de Constructo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Os constructos investigados — práticas de segurança e barreiras — foram operacionalizados por meio de escalas desenvolvidas pelos pesquisadores, não por instrumentos previamente validados. A ausência de instrumentos estabelecidos na literatura para o contexto brasileiro é uma limitação do campo. Mitigamos parcialmente esse problema por meio da validação de conteúdo por especialistas e do estudo piloto, mas a validade psicométrica das escalas não foi formalmente testada. Análises de confiabilidade interna (Alfa de Cronbach) foram realizadas por seção e reportaram valores entre 0,74 e 0,81, indicando consistência aceitável.</w:t>
      </w:r>
    </w:p>
    <w:p>
      <w:pPr>
        <w:spacing w:after="80" w:before="160" w:line="240" w:lineRule="auto"/>
        <w:jc w:val="left"/>
      </w:pPr>
      <w:r>
        <w:rPr>
          <w:rFonts w:ascii="Times New Roman" w:cs="Times New Roman" w:eastAsia="Times New Roman" w:hAnsi="Times New Roman"/>
          <w:b/>
          <w:bCs/>
          <w:i/>
          <w:iCs/>
          <w:sz w:val="20"/>
          <w:szCs w:val="20"/>
        </w:rPr>
        <w:t xml:space="preserve">5.2 Validade Interna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design transversal impede qualquer inferência causal. A relação observada entre presença de especialista e adoção de práticas pode ser confundida por variáveis não controladas, como o tamanho da organização, o setor de atuação (financeiro vs. varejo, por exemplo) ou a maturidade geral de processos da equipe. Não realizamos análise multivariada de controle por essas variáveis, o que representa uma limitação.</w:t>
      </w:r>
    </w:p>
    <w:p>
      <w:pPr>
        <w:spacing w:after="80" w:before="160" w:line="240" w:lineRule="auto"/>
        <w:jc w:val="left"/>
      </w:pPr>
      <w:r>
        <w:rPr>
          <w:rFonts w:ascii="Times New Roman" w:cs="Times New Roman" w:eastAsia="Times New Roman" w:hAnsi="Times New Roman"/>
          <w:b/>
          <w:bCs/>
          <w:i/>
          <w:iCs/>
          <w:sz w:val="20"/>
          <w:szCs w:val="20"/>
        </w:rPr>
        <w:t xml:space="preserve">5.3 Validade Externa (Generalização)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amostragem por conveniência é a principal ameaça à validade externa. Respondentes de comunidades online de desenvolvimento tendem a ser mais engajados com boas práticas do que a média dos desenvolvedores brasileiros, o que pode ter superestimado os níveis de adoção reportados. Não é possível afirmar que os resultados são representativos da população de desenvolvedores brasileiros.</w:t>
      </w:r>
    </w:p>
    <w:p>
      <w:pPr>
        <w:spacing w:after="80" w:before="160" w:line="240" w:lineRule="auto"/>
        <w:jc w:val="left"/>
      </w:pPr>
      <w:r>
        <w:rPr>
          <w:rFonts w:ascii="Times New Roman" w:cs="Times New Roman" w:eastAsia="Times New Roman" w:hAnsi="Times New Roman"/>
          <w:b/>
          <w:bCs/>
          <w:i/>
          <w:iCs/>
          <w:sz w:val="20"/>
          <w:szCs w:val="20"/>
        </w:rPr>
        <w:t xml:space="preserve">5.4 Viés de Desejabilidade Social</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Surveys de autopercepção são vulneráveis ao viés de desejabilidade social: respondentes tendem a reportar comportamentos que percebem como socialmente desejáveis. Para mitigar este viés, formulamos os itens de forma descritiva ('com que frequência sua equipe faz X?') em vez de avaliativa ('sua equipe faz X como deveria?'). Contudo, não é possível eliminar completamente esse efeito.</w:t>
      </w:r>
    </w:p>
    <w:p>
      <w:pPr>
        <w:spacing w:after="120" w:before="240" w:line="240" w:lineRule="auto"/>
        <w:jc w:val="left"/>
      </w:pPr>
      <w:r>
        <w:rPr>
          <w:rFonts w:ascii="Times New Roman" w:cs="Times New Roman" w:eastAsia="Times New Roman" w:hAnsi="Times New Roman"/>
          <w:b/>
          <w:bCs/>
          <w:sz w:val="22"/>
          <w:szCs w:val="22"/>
        </w:rPr>
        <w:t xml:space="preserve">6. CONCLUSÃO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survey mapeou as práticas de segurança em times de desenvolvimento de software no Brasil, identificando um padrão de adoção desigual: práticas de controle de acesso têm boa penetração, enquanto práticas integradas ao processo de desenvolvimento — como SAST, modelagem de ameaças e políticas formais de S-SDLC — ainda são marginais. A falta de tempo e de conhecimento específico foram as barreiras mais significativas. A presença de profissional dedicado à segurança mostrou associação estatisticamente significativa (p &lt; 0,001, r = 0,38) com maior adoção de práticas técnicas especializadas.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Esses resultados têm implicações para organizações que desejam melhorar sua postura de segurança: investimentos em treinamento e na criação de papéis dedicados à segurança podem ser mais efetivos do que apenas a adoção de ferramentas. Pesquisas futuras devem buscar amostras probabilísticas e designs longitudinais para superar as limitações do presente estudo.</w:t>
      </w:r>
    </w:p>
    <w:p>
      <w:pPr>
        <w:pBdr>
          <w:bottom w:val="single" w:color="333333" w:sz="6" w:space="1"/>
        </w:pBdr>
        <w:spacing w:after="120" w:before="120"/>
      </w:pPr>
      <w:r>
        <w:t xml:space="preserve"/>
      </w:r>
    </w:p>
    <w:p>
      <w:pPr>
        <w:spacing w:after="120" w:before="120"/>
        <w:jc w:val="left"/>
      </w:pPr>
      <w:r>
        <w:rPr>
          <w:rFonts w:ascii="Times New Roman" w:cs="Times New Roman" w:eastAsia="Times New Roman" w:hAnsi="Times New Roman"/>
          <w:b/>
          <w:bCs/>
          <w:sz w:val="22"/>
          <w:szCs w:val="22"/>
        </w:rPr>
        <w:t xml:space="preserve">Perguntas para Reflexão sobre o Método</w:t>
      </w:r>
    </w:p>
    <w:p>
      <w:pPr>
        <w:spacing w:after="120" w:before="0" w:line="240" w:lineRule="auto"/>
        <w:ind/>
        <w:jc w:val="both"/>
      </w:pPr>
      <w:r>
        <w:rPr>
          <w:rFonts w:ascii="Times New Roman" w:cs="Times New Roman" w:eastAsia="Times New Roman" w:hAnsi="Times New Roman"/>
          <w:b w:val="false"/>
          <w:bCs w:val="false"/>
          <w:i/>
          <w:iCs/>
          <w:sz w:val="18"/>
          <w:szCs w:val="18"/>
        </w:rPr>
        <w:t xml:space="preserve">As perguntas a seguir têm como objetivo apoiar a discussão em sala sobre as escolhas e limitações do método survey conforme exemplificado neste artigo.</w:t>
      </w:r>
    </w:p>
    <w:p>
      <w:pPr>
        <w:spacing w:after="0" w:before="60"/>
      </w:pPr>
      <w:r>
        <w:t xml:space="preserve"/>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descreve o survey como adequado para perguntas do tipo 'o que existe?' e 'com que frequência?'. Pense na sua própria pesquisa ou em um problema que você conhece bem: que tipo de pergunta sobre esse problema poderia ser respondida por um survey? Que tipo de pergunta não poderia?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Os pesquisadores coletaram dados por questionário online e não conseguiram controlar quem respondeu. Como isso pode afetar os resultados? Pense em quem teria mais ou menos motivação para responder a um survey sobre práticas de segurança.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afirma que equipes com especialista em segurança adotam mais práticas técnicas — mas que essa associação não prova que o especialista causou a melhoria. Por que a diferença entre 'associação' e 'causalidade' importa para quem vai tomar decisões com base nesses dados?</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questionário passou por um estudo piloto com 18 profissionais antes de ser aplicado. Dois itens foram reformulados porque muitos participantes não os responderam. O que esse dado do piloto nos revela sobre a relação entre quem cria o instrumento e quem vai respondê-lo?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Os resultados mostram que 71% dos respondentes usam gerenciador de senhas, mas apenas 12% têm políticas formais de segurança no ciclo de desenvolvimento. O artigo interpreta isso como um padrão de 'adoção estratificada por complexidade'. Você concorda com essa interpretação? Que outras explicações poderiam existir para essa diferença?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barreira 'percepção de que a responsabilidade é de outra área' foi a que teve maior variação entre os respondentes — alguns não a veem como barreira nenhuma, outros como muito significativa. O que essa variação diz sobre o fenômeno que está sendo medido? Um survey consegue explicar por que essa variação existe?</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termina sugerindo que treinamentos genéricos de conscientização 'tendem a não mover o ponteiro nas práticas que realmente fazem diferença'. Essa afirmação vai além do que os dados do survey permitem afirmar. Que tipo de estudo seria necessário para sustentar essa recomendação com mais evidência?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Imagine que você é o pesquisador responsável por este estudo e precisa apresentar os resultados para o diretor de tecnologia de uma empresa. Quais resultados você destacaria? Quais limitações você seria obrigado a mencionar para não criar uma impressão falsa de certeza?</w:t>
      </w:r>
    </w:p>
    <w:p>
      <w:pPr>
        <w:pBdr>
          <w:bottom w:val="single" w:color="333333" w:sz="6" w:space="1"/>
        </w:pBdr>
        <w:spacing w:after="120" w:before="120"/>
      </w:pPr>
      <w:r>
        <w:t xml:space="preserve"/>
      </w:r>
    </w:p>
    <w:p>
      <w:pPr>
        <w:spacing w:after="80" w:before="120"/>
        <w:jc w:val="left"/>
      </w:pPr>
      <w:r>
        <w:rPr>
          <w:rFonts w:ascii="Times New Roman" w:cs="Times New Roman" w:eastAsia="Times New Roman" w:hAnsi="Times New Roman"/>
          <w:b/>
          <w:bCs/>
          <w:sz w:val="22"/>
          <w:szCs w:val="22"/>
        </w:rPr>
        <w:t xml:space="preserve">Anexo A – Guia de Referência do Método: Survey (Questionário)</w:t>
      </w:r>
    </w:p>
    <w:p>
      <w:pPr>
        <w:spacing w:after="120" w:before="0" w:line="240" w:lineRule="auto"/>
        <w:ind/>
        <w:jc w:val="both"/>
      </w:pPr>
      <w:r>
        <w:rPr>
          <w:rFonts w:ascii="Times New Roman" w:cs="Times New Roman" w:eastAsia="Times New Roman" w:hAnsi="Times New Roman"/>
          <w:b w:val="false"/>
          <w:bCs w:val="false"/>
          <w:i/>
          <w:iCs/>
          <w:sz w:val="18"/>
          <w:szCs w:val="18"/>
        </w:rPr>
        <w:t xml:space="preserve">Este anexo resume as características essenciais do método survey com questionário em Engenharia de Software, baseado no ACM SIGSOFT Empirical Standard for Questionnaire Surveys (Ralph et al., 2020) e em Kitchenham e Pfleeger (2002).</w:t>
      </w:r>
    </w:p>
    <w:p>
      <w:pPr>
        <w:spacing w:after="0" w:before="60"/>
      </w:pPr>
      <w:r>
        <w:t xml:space="preserve"/>
      </w:r>
    </w:p>
    <w:p>
      <w:pPr>
        <w:spacing w:after="40" w:before="80"/>
        <w:jc w:val="left"/>
      </w:pPr>
      <w:r>
        <w:rPr>
          <w:rFonts w:ascii="Times New Roman" w:cs="Times New Roman" w:eastAsia="Times New Roman" w:hAnsi="Times New Roman"/>
          <w:b/>
          <w:bCs/>
          <w:sz w:val="20"/>
          <w:szCs w:val="20"/>
        </w:rPr>
        <w:t xml:space="preserve">O que é o Survey?</w:t>
      </w:r>
    </w:p>
    <w:p>
      <w:pPr>
        <w:spacing w:after="120" w:before="0" w:line="240" w:lineRule="auto"/>
        <w:ind/>
        <w:jc w:val="both"/>
      </w:pPr>
      <w:r>
        <w:rPr>
          <w:rFonts w:ascii="Times New Roman" w:cs="Times New Roman" w:eastAsia="Times New Roman" w:hAnsi="Times New Roman"/>
          <w:b w:val="false"/>
          <w:bCs w:val="false"/>
          <w:i w:val="false"/>
          <w:iCs w:val="false"/>
          <w:sz w:val="18"/>
          <w:szCs w:val="18"/>
        </w:rPr>
        <w:t xml:space="preserve">Um survey é um método de pesquisa que coleta dados estruturados de uma amostra de uma população-alvo, geralmente por meio de questionário. Seu objetivo é descrever as características, atitudes, comportamentos ou percepções da população representada pela amostra, permitindo generalizações estatísticas.</w:t>
      </w:r>
    </w:p>
    <w:p>
      <w:pPr>
        <w:spacing w:after="0" w:before="40"/>
      </w:pPr>
      <w:r>
        <w:t xml:space="preserve"/>
      </w:r>
    </w:p>
    <w:p>
      <w:pPr>
        <w:spacing w:after="40" w:before="80"/>
        <w:jc w:val="left"/>
      </w:pPr>
      <w:r>
        <w:rPr>
          <w:rFonts w:ascii="Times New Roman" w:cs="Times New Roman" w:eastAsia="Times New Roman" w:hAnsi="Times New Roman"/>
          <w:b/>
          <w:bCs/>
          <w:sz w:val="20"/>
          <w:szCs w:val="20"/>
        </w:rPr>
        <w:t xml:space="preserve">Posicionamento Filosófico Típico</w:t>
      </w:r>
    </w:p>
    <w:p>
      <w:pPr>
        <w:spacing w:after="120" w:before="0" w:line="240" w:lineRule="auto"/>
        <w:ind/>
        <w:jc w:val="both"/>
      </w:pPr>
      <w:r>
        <w:rPr>
          <w:rFonts w:ascii="Times New Roman" w:cs="Times New Roman" w:eastAsia="Times New Roman" w:hAnsi="Times New Roman"/>
          <w:b w:val="false"/>
          <w:bCs w:val="false"/>
          <w:i w:val="false"/>
          <w:iCs w:val="false"/>
          <w:sz w:val="18"/>
          <w:szCs w:val="18"/>
        </w:rPr>
        <w:t xml:space="preserve">Pós-positivista. Pressupõe que os fenômenos de interesse podem ser medidos com razoável objetividade. Aceita que medidas são imperfectas, mas busca controle do erro e inferência estatística. Compatível também com abordagens pragmáticas quando combinado com dados qualitativos.</w:t>
      </w:r>
    </w:p>
    <w:p>
      <w:pPr>
        <w:spacing w:after="0" w:before="40"/>
      </w:pPr>
      <w:r>
        <w:t xml:space="preserve"/>
      </w:r>
    </w:p>
    <w:p>
      <w:pPr>
        <w:spacing w:after="40" w:before="80"/>
        <w:jc w:val="left"/>
      </w:pPr>
      <w:r>
        <w:rPr>
          <w:rFonts w:ascii="Times New Roman" w:cs="Times New Roman" w:eastAsia="Times New Roman" w:hAnsi="Times New Roman"/>
          <w:b/>
          <w:bCs/>
          <w:sz w:val="20"/>
          <w:szCs w:val="20"/>
        </w:rPr>
        <w:t xml:space="preserve">Tipos de Pergunta que o Survey Responde Bem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47"/>
        <w:gridCol w:w="5624"/>
      </w:tblGrid>
      <w:tr>
        <w:tc>
          <w:tcPr>
            <w:tcW w:type="dxa" w:w="3447"/>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Tipo de Pergunta</w:t>
            </w:r>
          </w:p>
        </w:tc>
        <w:tc>
          <w:tcPr>
            <w:tcW w:type="dxa" w:w="562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Exemplo</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Frequência/Distribuição</w:t>
            </w:r>
          </w:p>
        </w:tc>
        <w:tc>
          <w:tcPr>
            <w:tcW w:type="dxa" w:w="562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Quantos desenvolvedores usam prática X?</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Descrição/Classificação</w:t>
            </w:r>
          </w:p>
        </w:tc>
        <w:tc>
          <w:tcPr>
            <w:tcW w:type="dxa" w:w="562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Que tipos de práticas são usadas?</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Relação/Correlação</w:t>
            </w:r>
          </w:p>
        </w:tc>
        <w:tc>
          <w:tcPr>
            <w:tcW w:type="dxa" w:w="562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Práticas X e Y coocorrem nas mesmas equipes?</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Comparação descritiva</w:t>
            </w:r>
          </w:p>
        </w:tc>
        <w:tc>
          <w:tcPr>
            <w:tcW w:type="dxa" w:w="562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Equipes de startups diferem de corporações?</w:t>
            </w:r>
          </w:p>
        </w:tc>
      </w:tr>
    </w:tbl>
    <w:p>
      <w:pPr>
        <w:spacing w:after="0" w:before="80"/>
      </w:pPr>
      <w:r>
        <w:t xml:space="preserve"/>
      </w:r>
    </w:p>
    <w:p>
      <w:pPr>
        <w:spacing w:after="40" w:before="80"/>
        <w:jc w:val="left"/>
      </w:pPr>
      <w:r>
        <w:rPr>
          <w:rFonts w:ascii="Times New Roman" w:cs="Times New Roman" w:eastAsia="Times New Roman" w:hAnsi="Times New Roman"/>
          <w:b/>
          <w:bCs/>
          <w:sz w:val="20"/>
          <w:szCs w:val="20"/>
        </w:rPr>
        <w:t xml:space="preserve">Elementos Essenciais (SIGSOFT Empirical Standard)</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Define claramente a população-alvo e os critérios de inclusão/exclusão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Descreve o processo de desenvolvimento e validação do instrumento (piloto, validação de conteúdo)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Explica a estratégia de amostragem e reconhece suas limitações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Reporta a taxa de resposta e avalia o risco de viés de não-resposta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Descreve o procedimento de análise estatística, incluindo testes de pressupostos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Discute ameaças à validade usando taxonomia estabelecida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Torna o instrumento (questionário) disponível como material suplementar</w:t>
      </w:r>
    </w:p>
    <w:p>
      <w:pPr>
        <w:spacing w:after="0" w:before="80"/>
      </w:pPr>
      <w:r>
        <w:t xml:space="preserve"/>
      </w:r>
    </w:p>
    <w:p>
      <w:pPr>
        <w:spacing w:after="40" w:before="80"/>
        <w:jc w:val="left"/>
      </w:pPr>
      <w:r>
        <w:rPr>
          <w:rFonts w:ascii="Times New Roman" w:cs="Times New Roman" w:eastAsia="Times New Roman" w:hAnsi="Times New Roman"/>
          <w:b/>
          <w:bCs/>
          <w:sz w:val="20"/>
          <w:szCs w:val="20"/>
        </w:rPr>
        <w:t xml:space="preserve">Quando Usar e Quando Não Usar o Survey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USE o Survey quando...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NÃO USE o Survey quando...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objetivo é descrever ou medir a distribuição de um fenômeno em uma população ampla</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objetivo é entender por que ou como um fenômeno ocorre em profundidade</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É possível acessar uma amostra razoável da população-alvo</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população-alvo é muito pequena ou inacessível para questionários</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pode ser operacionalizado em itens mensuráveis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é complexo, contextual ou não se presta a escalas</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Se quer comparar grupos ou verificar correlações entre variáveis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Se quer estabelecer causalidade (use experimento controlado)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Existe tempo para piloto, validação e coleta sistemática</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contexto exige observação in loco (use etnografia ou estudo de caso)</w:t>
            </w:r>
          </w:p>
        </w:tc>
      </w:tr>
    </w:tbl>
    <w:p>
      <w:pPr>
        <w:spacing w:after="0" w:before="80"/>
      </w:pPr>
      <w:r>
        <w:t xml:space="preserve"/>
      </w:r>
    </w:p>
    <w:p>
      <w:pPr>
        <w:spacing w:after="40" w:before="80"/>
        <w:jc w:val="left"/>
      </w:pPr>
      <w:r>
        <w:rPr>
          <w:rFonts w:ascii="Times New Roman" w:cs="Times New Roman" w:eastAsia="Times New Roman" w:hAnsi="Times New Roman"/>
          <w:b/>
          <w:bCs/>
          <w:sz w:val="20"/>
          <w:szCs w:val="20"/>
        </w:rPr>
        <w:t xml:space="preserve">Antipadrões Comuns em Surveys em 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Aplicar o questionário sem estudo piloto e sem validação de conteúdo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reportar a taxa de resposta nem avaliar o viés de não-resposta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Usar escala Likert e depois tratar os dados como intervalares sem verificar pressupostos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Concluir causalidade a partir de correlações observadas em design transversal (confusão correlação-causalidade)</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Fazer múltiplas comparações sem correção para erro tipo I</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Generalizar os resultados além do que a amostra permite</w:t>
      </w:r>
    </w:p>
    <w:p>
      <w:pPr>
        <w:spacing w:after="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REFERÊNCIAS</w:t>
      </w:r>
    </w:p>
    <w:p>
      <w:pPr>
        <w:spacing w:after="80" w:before="0" w:line="240" w:lineRule="auto"/>
        <w:ind w:left="720" w:hanging="720"/>
        <w:jc w:val="both"/>
      </w:pPr>
      <w:r>
        <w:rPr>
          <w:rFonts w:ascii="Times New Roman" w:cs="Times New Roman" w:eastAsia="Times New Roman" w:hAnsi="Times New Roman"/>
          <w:sz w:val="18"/>
          <w:szCs w:val="18"/>
        </w:rPr>
        <w:t xml:space="preserve">Creswell, J. W. (2014). Research Design: Qualitative, Quantitative, and Mixed Methods Approaches. 4ª ed. Sage Publications.</w:t>
      </w:r>
    </w:p>
    <w:p>
      <w:pPr>
        <w:spacing w:after="80" w:before="0" w:line="240" w:lineRule="auto"/>
        <w:ind w:left="720" w:hanging="720"/>
        <w:jc w:val="both"/>
      </w:pPr>
      <w:r>
        <w:rPr>
          <w:rFonts w:ascii="Times New Roman" w:cs="Times New Roman" w:eastAsia="Times New Roman" w:hAnsi="Times New Roman"/>
          <w:sz w:val="18"/>
          <w:szCs w:val="18"/>
        </w:rPr>
        <w:t xml:space="preserve">Kitchenham, B. e Pfleeger, S. L. (2002). Principles of Survey Research: Parts 1–6. ACM SIGSOFT Software Engineering Notes.</w:t>
      </w:r>
    </w:p>
    <w:p>
      <w:pPr>
        <w:spacing w:after="80" w:before="0" w:line="240" w:lineRule="auto"/>
        <w:ind w:left="720" w:hanging="720"/>
        <w:jc w:val="both"/>
      </w:pPr>
      <w:r>
        <w:rPr>
          <w:rFonts w:ascii="Times New Roman" w:cs="Times New Roman" w:eastAsia="Times New Roman" w:hAnsi="Times New Roman"/>
          <w:sz w:val="18"/>
          <w:szCs w:val="18"/>
        </w:rPr>
        <w:t xml:space="preserve">Ralph, P. et al. (2020). Empirical Standards for Software Engineering Research. arXiv:2010.03525.</w:t>
      </w:r>
    </w:p>
    <w:p>
      <w:pPr>
        <w:spacing w:after="80" w:before="0" w:line="240" w:lineRule="auto"/>
        <w:ind w:left="720" w:hanging="720"/>
        <w:jc w:val="both"/>
      </w:pPr>
      <w:r>
        <w:rPr>
          <w:rFonts w:ascii="Times New Roman" w:cs="Times New Roman" w:eastAsia="Times New Roman" w:hAnsi="Times New Roman"/>
          <w:sz w:val="18"/>
          <w:szCs w:val="18"/>
        </w:rPr>
        <w:t xml:space="preserve">Wohlin, C. et al. (2012). Experimentation in Software Engineering. Springer.</w:t>
      </w:r>
    </w:p>
    <w:p>
      <w:pPr>
        <w:spacing w:after="80" w:before="0" w:line="240" w:lineRule="auto"/>
        <w:ind w:left="720" w:hanging="720"/>
        <w:jc w:val="both"/>
      </w:pPr>
      <w:r>
        <w:rPr>
          <w:rFonts w:ascii="Times New Roman" w:cs="Times New Roman" w:eastAsia="Times New Roman" w:hAnsi="Times New Roman"/>
          <w:sz w:val="18"/>
          <w:szCs w:val="18"/>
        </w:rPr>
        <w:t xml:space="preserve">OWASP. (2023). Software Assurance Maturity Model (SAMM). Disponível em: https://owaspsamm.org</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2026-06-14T18:09:18.732Z</dcterms:created>
  <dcterms:modified xsi:type="dcterms:W3CDTF">2026-06-14T18:09:18.733Z</dcterms:modified>
</cp:coreProperties>
</file>

<file path=docProps/custom.xml><?xml version="1.0" encoding="utf-8"?>
<Properties xmlns="http://schemas.openxmlformats.org/officeDocument/2006/custom-properties" xmlns:vt="http://schemas.openxmlformats.org/officeDocument/2006/docPropsVTypes"/>
</file>