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Times New Roman" w:cs="Times New Roman" w:eastAsia="Times New Roman" w:hAnsi="Times New Roman"/>
          <w:b/>
          <w:bCs/>
          <w:sz w:val="28"/>
          <w:szCs w:val="28"/>
        </w:rPr>
        <w:t xml:space="preserve">Revisão de Código Guiada por Checklist versus Ad Hoc: Um Experimento Controlado sobre Detecção de Defeitos</w:t>
      </w:r>
    </w:p>
    <w:p>
      <w:pPr>
        <w:spacing w:after="80" w:before="0"/>
        <w:jc w:val="center"/>
      </w:pPr>
      <w:r>
        <w:rPr>
          <w:rFonts w:ascii="Times New Roman" w:cs="Times New Roman" w:eastAsia="Times New Roman" w:hAnsi="Times New Roman"/>
          <w:sz w:val="22"/>
          <w:szCs w:val="22"/>
        </w:rPr>
        <w:t xml:space="preserve">Rafael Andrade Nunes¹, Beatriz Cavalcanti²</w:t>
      </w:r>
    </w:p>
    <w:p>
      <w:pPr>
        <w:spacing w:after="40" w:before="0"/>
        <w:jc w:val="center"/>
      </w:pPr>
      <w:r>
        <w:rPr>
          <w:rFonts w:ascii="Times New Roman" w:cs="Times New Roman" w:eastAsia="Times New Roman" w:hAnsi="Times New Roman"/>
          <w:i/>
          <w:iCs/>
          <w:sz w:val="18"/>
          <w:szCs w:val="18"/>
        </w:rPr>
        <w:t xml:space="preserve">¹Programa de Pós-Graduação em Engenharia de Software – Universidade A</w:t>
      </w:r>
    </w:p>
    <w:p>
      <w:pPr>
        <w:spacing w:after="40" w:before="0"/>
        <w:jc w:val="center"/>
      </w:pPr>
      <w:r>
        <w:rPr>
          <w:rFonts w:ascii="Times New Roman" w:cs="Times New Roman" w:eastAsia="Times New Roman" w:hAnsi="Times New Roman"/>
          <w:i/>
          <w:iCs/>
          <w:sz w:val="18"/>
          <w:szCs w:val="18"/>
        </w:rPr>
        <w:t xml:space="preserve">²Instituto de Informática – Universidade B</w:t>
      </w:r>
    </w:p>
    <w:p>
      <w:pPr>
        <w:spacing w:after="160" w:before="0"/>
        <w:jc w:val="center"/>
      </w:pPr>
      <w:r>
        <w:rPr>
          <w:rFonts w:ascii="Times New Roman" w:cs="Times New Roman" w:eastAsia="Times New Roman" w:hAnsi="Times New Roman"/>
          <w:sz w:val="18"/>
          <w:szCs w:val="18"/>
        </w:rPr>
        <w:t xml:space="preserve">r.nunes@univ-a.br, b.cavalcanti@univ-b.br</w:t>
      </w:r>
    </w:p>
    <w:p>
      <w:pPr>
        <w:pBdr>
          <w:bottom w:val="single" w:color="333333" w:sz="6" w:space="1"/>
        </w:pBdr>
        <w:spacing w:after="120" w:before="120"/>
      </w:pPr>
      <w:r>
        <w:t xml:space="preserve"/>
      </w:r>
    </w:p>
    <w:p>
      <w:pPr>
        <w:spacing w:after="80" w:before="0" w:line="240" w:lineRule="auto"/>
        <w:jc w:val="both"/>
      </w:pPr>
      <w:r>
        <w:rPr>
          <w:rFonts w:ascii="Times New Roman" w:cs="Times New Roman" w:eastAsia="Times New Roman" w:hAnsi="Times New Roman"/>
          <w:b/>
          <w:bCs/>
          <w:sz w:val="20"/>
          <w:szCs w:val="20"/>
        </w:rPr>
        <w:t xml:space="preserve">Resumo. </w:t>
      </w:r>
      <w:r>
        <w:rPr>
          <w:rFonts w:ascii="Times New Roman" w:cs="Times New Roman" w:eastAsia="Times New Roman" w:hAnsi="Times New Roman"/>
          <w:sz w:val="20"/>
          <w:szCs w:val="20"/>
        </w:rPr>
        <w:t xml:space="preserve">Este artigo reporta um experimento controlado que investigou o efeito da revisão de código guiada por checklist (RCG) em comparação com revisão ad hoc (RCA) sobre a taxa de detecção de defeitos em código Java. O experimento adotou um design within-subjects com contrabalanceamento (Latin Square 2×2), no qual cada participante aplicou ambas as técnicas em artefatos distintos. Participaram 30 estudantes de pós-graduação com experiência prévia em desenvolvimento Java. A hipótese nula de ausência de diferença foi testada com o teste t de Student para amostras pareadas. Os resultados indicaram que a RCG produziu taxa de detecção de defeitos significativamente maior do que a RCA (t(29) = 4,12, p &lt; 0,001, d de Cohen = 0,75 — efeito grande). O tempo médio de revisão não diferiu significativamente entre as técnicas (p = 0,21). Este artigo foi construído com apoio de um modelo de linguagem de grande escala (LLM) com o objetivo de exemplificar as características do método experimento controlado para fins didáticos em cursos de pós-graduação em Computação.</w:t>
      </w:r>
    </w:p>
    <w:p>
      <w:pPr>
        <w:spacing w:after="160" w:before="0" w:line="240" w:lineRule="auto"/>
        <w:jc w:val="both"/>
      </w:pPr>
      <w:r>
        <w:rPr>
          <w:rFonts w:ascii="Times New Roman" w:cs="Times New Roman" w:eastAsia="Times New Roman" w:hAnsi="Times New Roman"/>
          <w:b/>
          <w:bCs/>
          <w:sz w:val="20"/>
          <w:szCs w:val="20"/>
        </w:rPr>
        <w:t xml:space="preserve">Palavras-chave. </w:t>
      </w:r>
      <w:r>
        <w:rPr>
          <w:rFonts w:ascii="Times New Roman" w:cs="Times New Roman" w:eastAsia="Times New Roman" w:hAnsi="Times New Roman"/>
          <w:sz w:val="20"/>
          <w:szCs w:val="20"/>
        </w:rPr>
        <w:t xml:space="preserve">Experimento Controlado; Revisão de Código; Checklist; Detecção de Defeitos; Engenharia de Software Empírica.</w:t>
      </w:r>
    </w:p>
    <w:p>
      <w:pPr>
        <w:pBdr>
          <w:bottom w:val="single" w:color="333333" w:sz="6" w:space="1"/>
        </w:pBdr>
        <w:spacing w:after="120" w:before="120"/>
      </w:pPr>
      <w:r>
        <w:t xml:space="preserve"/>
      </w:r>
    </w:p>
    <w:p>
      <w:pPr>
        <w:spacing w:after="120" w:before="240" w:line="240" w:lineRule="auto"/>
        <w:jc w:val="left"/>
      </w:pPr>
      <w:r>
        <w:rPr>
          <w:rFonts w:ascii="Times New Roman" w:cs="Times New Roman" w:eastAsia="Times New Roman" w:hAnsi="Times New Roman"/>
          <w:b/>
          <w:bCs/>
          <w:sz w:val="22"/>
          <w:szCs w:val="22"/>
        </w:rPr>
        <w:t xml:space="preserve">1. INTRODUÇÃO</w:t>
      </w:r>
    </w:p>
    <w:p>
      <w:pPr>
        <w:spacing w:after="120" w:before="0" w:line="240" w:lineRule="auto"/>
        <w:ind/>
        <w:jc w:val="both"/>
      </w:pPr>
      <w:r>
        <w:rPr>
          <w:rFonts w:ascii="Times New Roman" w:cs="Times New Roman" w:eastAsia="Times New Roman" w:hAnsi="Times New Roman"/>
          <w:b w:val="false"/>
          <w:bCs w:val="false"/>
          <w:i w:val="false"/>
          <w:iCs w:val="false"/>
          <w:sz w:val="20"/>
          <w:szCs w:val="20"/>
        </w:rPr>
        <w:t xml:space="preserve">A revisão de código é uma das práticas mais amplamente adotadas para melhoria de qualidade em Engenharia de Software. Ela envolve a leitura sistemática de código por um ou mais revisores com o objetivo de identificar defeitos, violações de padrões e oportunidades de melhoria antes que o código seja integrado ao produto. Apesar de seu uso generalizado, a eficácia relativa de diferentes abordagens de revisão — em particular, revisão guiada por checklist versus revisão sem estrutura prévia — permanece empiricamente pouco explorada no contexto de projetos reais de software.</w:t>
      </w:r>
    </w:p>
    <w:p>
      <w:pPr>
        <w:spacing w:after="120" w:before="0" w:line="240" w:lineRule="auto"/>
        <w:ind/>
        <w:jc w:val="both"/>
      </w:pPr>
      <w:r>
        <w:rPr>
          <w:rFonts w:ascii="Times New Roman" w:cs="Times New Roman" w:eastAsia="Times New Roman" w:hAnsi="Times New Roman"/>
          <w:b w:val="false"/>
          <w:bCs w:val="false"/>
          <w:i/>
          <w:iCs/>
          <w:sz w:val="18"/>
          <w:szCs w:val="18"/>
        </w:rPr>
        <w:t xml:space="preserve">Nota sobre este artigo: Este texto foi construído com apoio de um modelo de linguagem de grande escala (LLM) com propósito exclusivamente didático. Os dados apresentados são fictícios e foram elaborados para ilustrar de forma realista as características do método experimento controlado em pesquisa empírica em Engenharia de Software. O leitor deve focar na estrutura do método, nas decisões experimentais e na forma de apresentação dos resultados, e não no conteúdo substantivo sobre revisão de código.</w:t>
      </w:r>
    </w:p>
    <w:p>
      <w:pPr>
        <w:spacing w:after="120" w:before="0" w:line="240" w:lineRule="auto"/>
        <w:ind/>
        <w:jc w:val="both"/>
      </w:pPr>
      <w:r>
        <w:rPr>
          <w:rFonts w:ascii="Times New Roman" w:cs="Times New Roman" w:eastAsia="Times New Roman" w:hAnsi="Times New Roman"/>
          <w:b w:val="false"/>
          <w:bCs w:val="false"/>
          <w:i w:val="false"/>
          <w:iCs w:val="false"/>
          <w:sz w:val="20"/>
          <w:szCs w:val="20"/>
        </w:rPr>
        <w:t xml:space="preserve">O experimento controlado é o método de eleição quando a pergunta de pesquisa é de natureza causal: queremos saber se a manipulação deliberada de uma variável (a técnica de revisão) produz efeito mensurável sobre outra (a taxa de detecção de defeitos), mantendo tudo o mais constante. Nenhum outro design empírico oferece o mesmo grau de controle para isolar relações de causa e efeito. O preço desse controle é a artificialidade: o experimento acontece em condições controladas que podem não refletir a complexidade dos projetos reais.</w:t>
      </w:r>
    </w:p>
    <w:p>
      <w:pPr>
        <w:spacing w:after="120" w:before="0" w:line="240" w:lineRule="auto"/>
        <w:ind/>
        <w:jc w:val="both"/>
      </w:pPr>
      <w:r>
        <w:rPr>
          <w:rFonts w:ascii="Times New Roman" w:cs="Times New Roman" w:eastAsia="Times New Roman" w:hAnsi="Times New Roman"/>
          <w:b w:val="false"/>
          <w:bCs w:val="false"/>
          <w:i w:val="false"/>
          <w:iCs w:val="false"/>
          <w:sz w:val="20"/>
          <w:szCs w:val="20"/>
        </w:rPr>
        <w:t xml:space="preserve">Este estudo é guiado pela seguinte questão de pesquisa e hipóteses associadas:</w:t>
      </w:r>
    </w:p>
    <w:p>
      <w:pPr>
        <w:spacing w:after="0" w:before="40"/>
      </w:pPr>
      <w:r>
        <w:t xml:space="preserve"/>
      </w:r>
    </w:p>
    <w:p>
      <w:pPr>
        <w:shd w:fill="EBF5FB" w:val="clear"/>
        <w:spacing w:after="40" w:before="40" w:line="240" w:lineRule="auto"/>
        <w:ind w:left="360" w:right="360"/>
        <w:jc w:val="both"/>
      </w:pPr>
      <w:r>
        <w:rPr>
          <w:rFonts w:ascii="Times New Roman" w:cs="Times New Roman" w:eastAsia="Times New Roman" w:hAnsi="Times New Roman"/>
          <w:sz w:val="20"/>
          <w:szCs w:val="20"/>
        </w:rPr>
        <w:t xml:space="preserve">RQ: A revisão de código guiada por checklist produz taxa de detecção de defeitos significativamente diferente da revisão ad hoc em código Java de complexidade moderada?</w:t>
      </w:r>
    </w:p>
    <w:p>
      <w:pPr>
        <w:spacing w:after="0" w:before="40"/>
      </w:pPr>
      <w:r>
        <w:t xml:space="preserve"/>
      </w:r>
    </w:p>
    <w:p>
      <w:pPr>
        <w:shd w:fill="F4ECF7" w:val="clear"/>
        <w:spacing w:after="40" w:before="40" w:line="240" w:lineRule="auto"/>
        <w:ind w:left="360" w:right="360"/>
        <w:jc w:val="both"/>
      </w:pPr>
      <w:r>
        <w:rPr>
          <w:rFonts w:ascii="Times New Roman" w:cs="Times New Roman" w:eastAsia="Times New Roman" w:hAnsi="Times New Roman"/>
          <w:b/>
          <w:bCs/>
          <w:sz w:val="20"/>
          <w:szCs w:val="20"/>
        </w:rPr>
        <w:t xml:space="preserve">H₀:  </w:t>
      </w:r>
      <w:r>
        <w:rPr>
          <w:rFonts w:ascii="Times New Roman" w:cs="Times New Roman" w:eastAsia="Times New Roman" w:hAnsi="Times New Roman"/>
          <w:i/>
          <w:iCs/>
          <w:sz w:val="20"/>
          <w:szCs w:val="20"/>
        </w:rPr>
        <w:t xml:space="preserve">Não existe diferença estatisticamente significativa na taxa de detecção de defeitos entre a revisão guiada por checklist (RCG) e a revisão ad hoc (RCA). μ_RCG = μ_RCA</w:t>
      </w:r>
    </w:p>
    <w:p>
      <w:pPr>
        <w:shd w:fill="EAF6FF" w:val="clear"/>
        <w:spacing w:after="40" w:before="40" w:line="240" w:lineRule="auto"/>
        <w:ind w:left="360" w:right="360"/>
        <w:jc w:val="both"/>
      </w:pPr>
      <w:r>
        <w:rPr>
          <w:rFonts w:ascii="Times New Roman" w:cs="Times New Roman" w:eastAsia="Times New Roman" w:hAnsi="Times New Roman"/>
          <w:b/>
          <w:bCs/>
          <w:sz w:val="20"/>
          <w:szCs w:val="20"/>
        </w:rPr>
        <w:t xml:space="preserve">H₁:  </w:t>
      </w:r>
      <w:r>
        <w:rPr>
          <w:rFonts w:ascii="Times New Roman" w:cs="Times New Roman" w:eastAsia="Times New Roman" w:hAnsi="Times New Roman"/>
          <w:i/>
          <w:iCs/>
          <w:sz w:val="20"/>
          <w:szCs w:val="20"/>
        </w:rPr>
        <w:t xml:space="preserve">A revisão guiada por checklist produz taxa de detecção de defeitos significativamente maior do que a revisão ad hoc. μ_RCG &gt; μ_RCA</w:t>
      </w:r>
    </w:p>
    <w:p>
      <w:pPr>
        <w:spacing w:after="0" w:before="80"/>
      </w:pPr>
      <w:r>
        <w:t xml:space="preserve"/>
      </w:r>
    </w:p>
    <w:p>
      <w:pPr>
        <w:spacing w:after="120" w:before="0" w:line="240" w:lineRule="auto"/>
        <w:ind/>
        <w:jc w:val="both"/>
      </w:pPr>
      <w:r>
        <w:rPr>
          <w:rFonts w:ascii="Times New Roman" w:cs="Times New Roman" w:eastAsia="Times New Roman" w:hAnsi="Times New Roman"/>
          <w:b w:val="false"/>
          <w:bCs w:val="false"/>
          <w:i w:val="false"/>
          <w:iCs w:val="false"/>
          <w:sz w:val="20"/>
          <w:szCs w:val="20"/>
        </w:rPr>
        <w:t xml:space="preserve">A hipótese é direcional (one-tailed) porque a teoria subjacente — de que estrutura reduz omissões sistemáticas na inspeção — prediz especificamente que checklists melhoram, não apenas alteram, a detecção. A escolha de hipótese direcional aumenta o poder estatístico do teste para detectar o efeito predito, mas implica que um resultado na direção oposta (RCA superior) não seria detectado como significativo.</w:t>
      </w:r>
    </w:p>
    <w:p>
      <w:pPr>
        <w:spacing w:after="120" w:before="240" w:line="240" w:lineRule="auto"/>
        <w:jc w:val="left"/>
      </w:pPr>
      <w:r>
        <w:rPr>
          <w:rFonts w:ascii="Times New Roman" w:cs="Times New Roman" w:eastAsia="Times New Roman" w:hAnsi="Times New Roman"/>
          <w:b/>
          <w:bCs/>
          <w:sz w:val="22"/>
          <w:szCs w:val="22"/>
        </w:rPr>
        <w:t xml:space="preserve">2. MÉTODO</w:t>
      </w:r>
    </w:p>
    <w:p>
      <w:pPr>
        <w:spacing w:after="80" w:before="160" w:line="240" w:lineRule="auto"/>
        <w:jc w:val="left"/>
      </w:pPr>
      <w:r>
        <w:rPr>
          <w:rFonts w:ascii="Times New Roman" w:cs="Times New Roman" w:eastAsia="Times New Roman" w:hAnsi="Times New Roman"/>
          <w:b/>
          <w:bCs/>
          <w:i/>
          <w:iCs/>
          <w:sz w:val="20"/>
          <w:szCs w:val="20"/>
        </w:rPr>
        <w:t xml:space="preserve">2.1 Posicionamento Filosófico</w:t>
      </w:r>
    </w:p>
    <w:p>
      <w:pPr>
        <w:spacing w:after="120" w:before="0" w:line="240" w:lineRule="auto"/>
        <w:ind/>
        <w:jc w:val="both"/>
      </w:pPr>
      <w:r>
        <w:rPr>
          <w:rFonts w:ascii="Times New Roman" w:cs="Times New Roman" w:eastAsia="Times New Roman" w:hAnsi="Times New Roman"/>
          <w:b w:val="false"/>
          <w:bCs w:val="false"/>
          <w:i w:val="false"/>
          <w:iCs w:val="false"/>
          <w:sz w:val="20"/>
          <w:szCs w:val="20"/>
        </w:rPr>
        <w:t xml:space="preserve">Este experimento adota um posicionamento filosófico pós-positivista, com ênfase no falsificacionismo popperiano. Partimos de uma teoria explícita — que checklists estruturam a atenção do revisor e reduzem omissões sistemáticas — e derivamos dela uma hipótese falseável. O experimento não busca confirmar a teoria de forma definitiva, mas oferecer evidência que aumente ou diminua a confiança nela. Se o experimento falhar em rejeitar H₀, a teoria perde suporte empírico; se H₀ for rejeitada, a confiança na teoria é reforçada, mas não provada.</w:t>
      </w:r>
    </w:p>
    <w:p>
      <w:pPr>
        <w:spacing w:after="120" w:before="0" w:line="240" w:lineRule="auto"/>
        <w:ind/>
        <w:jc w:val="both"/>
      </w:pPr>
      <w:r>
        <w:rPr>
          <w:rFonts w:ascii="Times New Roman" w:cs="Times New Roman" w:eastAsia="Times New Roman" w:hAnsi="Times New Roman"/>
          <w:b w:val="false"/>
          <w:bCs w:val="false"/>
          <w:i w:val="false"/>
          <w:iCs w:val="false"/>
          <w:sz w:val="20"/>
          <w:szCs w:val="20"/>
        </w:rPr>
        <w:t xml:space="preserve">Esse posicionamento tem consequências metodológicas concretas: as hipóteses precisam ser especificadas antes da coleta (pré-registro), as variáveis precisam ser operacionalizadas com precisão, e os critérios de rejeição de H₀ precisam ser definidos a priori. A lógica é dedutiva — partimos da teoria, derivamos predições, testamos as predições — em oposição à lógica indutiva de métodos qualitativos.</w:t>
      </w:r>
    </w:p>
    <w:p>
      <w:pPr>
        <w:spacing w:after="80" w:before="160" w:line="240" w:lineRule="auto"/>
        <w:jc w:val="left"/>
      </w:pPr>
      <w:r>
        <w:rPr>
          <w:rFonts w:ascii="Times New Roman" w:cs="Times New Roman" w:eastAsia="Times New Roman" w:hAnsi="Times New Roman"/>
          <w:b/>
          <w:bCs/>
          <w:i/>
          <w:iCs/>
          <w:sz w:val="20"/>
          <w:szCs w:val="20"/>
        </w:rPr>
        <w:t xml:space="preserve">2.2 Design Experimental: Por que Within-Subjects e não Between-Subjects?</w:t>
      </w:r>
    </w:p>
    <w:p>
      <w:pPr>
        <w:spacing w:after="120" w:before="0" w:line="240" w:lineRule="auto"/>
        <w:ind/>
        <w:jc w:val="both"/>
      </w:pPr>
      <w:r>
        <w:rPr>
          <w:rFonts w:ascii="Times New Roman" w:cs="Times New Roman" w:eastAsia="Times New Roman" w:hAnsi="Times New Roman"/>
          <w:b w:val="false"/>
          <w:bCs w:val="false"/>
          <w:i w:val="false"/>
          <w:iCs w:val="false"/>
          <w:sz w:val="20"/>
          <w:szCs w:val="20"/>
        </w:rPr>
        <w:t xml:space="preserve">O design experimental adotado foi within-subjects (intra-sujeitos): cada participante aplicou ambas as técnicas (RCG e RCA), cada uma em um artefato de código diferente. A alternativa seria um design between-subjects (inter-sujeitos), no qual cada participante aplicaria apenas uma técnica.</w:t>
      </w:r>
    </w:p>
    <w:p>
      <w:pPr>
        <w:shd w:fill="FEF9E7" w:val="clear"/>
        <w:spacing w:after="80" w:before="80" w:line="240" w:lineRule="auto"/>
        <w:ind w:left="360" w:right="360"/>
        <w:jc w:val="both"/>
      </w:pPr>
      <w:r>
        <w:rPr>
          <w:rFonts w:ascii="Times New Roman" w:cs="Times New Roman" w:eastAsia="Times New Roman" w:hAnsi="Times New Roman"/>
          <w:b/>
          <w:bCs/>
          <w:sz w:val="18"/>
          <w:szCs w:val="18"/>
        </w:rPr>
        <w:t xml:space="preserve">Decisão metodológica: </w:t>
      </w:r>
      <w:r>
        <w:rPr>
          <w:rFonts w:ascii="Times New Roman" w:cs="Times New Roman" w:eastAsia="Times New Roman" w:hAnsi="Times New Roman"/>
          <w:sz w:val="18"/>
          <w:szCs w:val="18"/>
        </w:rPr>
        <w:t xml:space="preserve">Escolhemos o design within-subjects porque ele elimina a variância entre participantes como fonte de ruído. Em estudos de revisão de código, diferenças de experiência e habilidade entre revisores são uma das maiores fontes de variabilidade nos resultados. Com within-subjects, cada participante serve como seu próprio controle: qualquer diferença observada entre as técnicas não pode ser atribuída a diferenças de habilidade entre grupos, porque é o mesmo participante usando as duas técnicas. Isso aumenta o poder estatístico do teste, permitindo detectar efeitos menores com amostras menores.</w:t>
      </w:r>
    </w:p>
    <w:p>
      <w:pPr>
        <w:spacing w:after="120" w:before="0" w:line="240" w:lineRule="auto"/>
        <w:ind/>
        <w:jc w:val="both"/>
      </w:pPr>
      <w:r>
        <w:rPr>
          <w:rFonts w:ascii="Times New Roman" w:cs="Times New Roman" w:eastAsia="Times New Roman" w:hAnsi="Times New Roman"/>
          <w:b w:val="false"/>
          <w:bCs w:val="false"/>
          <w:i w:val="false"/>
          <w:iCs w:val="false"/>
          <w:sz w:val="20"/>
          <w:szCs w:val="20"/>
        </w:rPr>
        <w:t xml:space="preserve">O custo do design within-subjects é o risco de efeitos de ordem (order effects): a técnica aplicada primeiro pode influenciar o desempenho na segunda, seja por aprendizado (o participante fica mais familiarizado com os defeitos ao usar a primeira técnica) ou por fadiga (o participante se cansa). Para controlar esse risco, adotamos contrabalanceamento completo com quadrado latino 2×2: metade dos participantes (n=15) aplicou RCG primeiro e RCA depois; a outra metade aplicou RCA primeiro e RCG depois. Isso distribui os efeitos de ordem igualmente entre os dois tratamentos.</w:t>
      </w:r>
    </w:p>
    <w:p>
      <w:pPr>
        <w:shd w:fill="FEF9E7" w:val="clear"/>
        <w:spacing w:after="80" w:before="80" w:line="240" w:lineRule="auto"/>
        <w:ind w:left="360" w:right="360"/>
        <w:jc w:val="both"/>
      </w:pPr>
      <w:r>
        <w:rPr>
          <w:rFonts w:ascii="Times New Roman" w:cs="Times New Roman" w:eastAsia="Times New Roman" w:hAnsi="Times New Roman"/>
          <w:b/>
          <w:bCs/>
          <w:sz w:val="18"/>
          <w:szCs w:val="18"/>
        </w:rPr>
        <w:t xml:space="preserve">Decisão metodológica: </w:t>
      </w:r>
      <w:r>
        <w:rPr>
          <w:rFonts w:ascii="Times New Roman" w:cs="Times New Roman" w:eastAsia="Times New Roman" w:hAnsi="Times New Roman"/>
          <w:sz w:val="18"/>
          <w:szCs w:val="18"/>
        </w:rPr>
        <w:t xml:space="preserve">Usamos artefatos de código distintos para as duas técnicas — mas de complexidade equivalente, verificada por métricas de linhas de código (50–70 linhas), complexidade ciclomática (McCabe entre 4 e 7) e número de defeitos injetados (8 defeitos por artefato). A equivalência dos artefatos foi verificada por dois pesquisadores independentes antes do experimento.</w:t>
      </w:r>
    </w:p>
    <w:p>
      <w:pPr>
        <w:spacing w:after="80" w:before="160" w:line="240" w:lineRule="auto"/>
        <w:jc w:val="left"/>
      </w:pPr>
      <w:r>
        <w:rPr>
          <w:rFonts w:ascii="Times New Roman" w:cs="Times New Roman" w:eastAsia="Times New Roman" w:hAnsi="Times New Roman"/>
          <w:b/>
          <w:bCs/>
          <w:i/>
          <w:iCs/>
          <w:sz w:val="20"/>
          <w:szCs w:val="20"/>
        </w:rPr>
        <w:t xml:space="preserve">2.3 Por que este é um Experimento Controlado, e não um Quasi-Experimento?</w:t>
      </w:r>
    </w:p>
    <w:p>
      <w:pPr>
        <w:spacing w:after="120" w:before="0" w:line="240" w:lineRule="auto"/>
        <w:ind/>
        <w:jc w:val="both"/>
      </w:pPr>
      <w:r>
        <w:rPr>
          <w:rFonts w:ascii="Times New Roman" w:cs="Times New Roman" w:eastAsia="Times New Roman" w:hAnsi="Times New Roman"/>
          <w:b w:val="false"/>
          <w:bCs w:val="false"/>
          <w:i w:val="false"/>
          <w:iCs w:val="false"/>
          <w:sz w:val="20"/>
          <w:szCs w:val="20"/>
        </w:rPr>
        <w:t xml:space="preserve">A distinção entre experimento controlado e quasi-experimento é fundamental e frequentemente mal compreendida. A diferença essencial não é o local onde o estudo acontece (laboratório vs. campo), mas sim a presença ou ausência de aleatorização na atribuição dos participantes aos tratamentos.</w:t>
      </w:r>
    </w:p>
    <w:p>
      <w:pPr>
        <w:spacing w:after="120" w:before="0" w:line="240" w:lineRule="auto"/>
        <w:ind/>
        <w:jc w:val="both"/>
      </w:pPr>
      <w:r>
        <w:rPr>
          <w:rFonts w:ascii="Times New Roman" w:cs="Times New Roman" w:eastAsia="Times New Roman" w:hAnsi="Times New Roman"/>
          <w:b w:val="false"/>
          <w:bCs w:val="false"/>
          <w:i w:val="false"/>
          <w:iCs w:val="false"/>
          <w:sz w:val="20"/>
          <w:szCs w:val="20"/>
        </w:rPr>
        <w:t xml:space="preserve">Um quasi-experimento ocorre quando o pesquisador manipula a variável independente, mas não consegue distribuir aleatoriamente os participantes entre os tratamentos. Isso acontece, por exemplo, quando se comparam duas turmas de uma disciplina — uma usando a técnica A e outra a técnica B — sem que os alunos tenham sido randomicamente designados a cada turma. As turmas já existiam antes do estudo, e as diferenças observadas entre elas podem refletir diferenças prévias entre os grupos, não o efeito das técnicas.</w:t>
      </w:r>
    </w:p>
    <w:p>
      <w:pPr>
        <w:spacing w:after="120" w:before="0" w:line="240" w:lineRule="auto"/>
        <w:ind/>
        <w:jc w:val="both"/>
      </w:pPr>
      <w:r>
        <w:rPr>
          <w:rFonts w:ascii="Times New Roman" w:cs="Times New Roman" w:eastAsia="Times New Roman" w:hAnsi="Times New Roman"/>
          <w:b w:val="false"/>
          <w:bCs w:val="false"/>
          <w:i w:val="false"/>
          <w:iCs w:val="false"/>
          <w:sz w:val="20"/>
          <w:szCs w:val="20"/>
        </w:rPr>
        <w:t xml:space="preserve">Neste estudo, todos os 30 participantes foram recrutados de forma voluntária e, em seguida, aleatoriamente designados a uma das duas sequências de tratamento (RCG→RCA ou RCA→RCG) por meio de sorteio computacional. Nenhum participante pertencia a grupos pré-existentes que determinassem qual técnica receberia. Essa aleatorização é o que caracteriza este estudo como experimento controlado: ela distribui aleatoriamente variáveis de confusão não observadas (motivação, estilo cognitivo, familiaridade com o domínio) entre as condições, tornando os grupos comparáveis em expectativa.</w:t>
      </w:r>
    </w:p>
    <w:p>
      <w:pPr>
        <w:shd w:fill="FEF9E7" w:val="clear"/>
        <w:spacing w:after="80" w:before="80" w:line="240" w:lineRule="auto"/>
        <w:ind w:left="360" w:right="360"/>
        <w:jc w:val="both"/>
      </w:pPr>
      <w:r>
        <w:rPr>
          <w:rFonts w:ascii="Times New Roman" w:cs="Times New Roman" w:eastAsia="Times New Roman" w:hAnsi="Times New Roman"/>
          <w:b/>
          <w:bCs/>
          <w:sz w:val="18"/>
          <w:szCs w:val="18"/>
        </w:rPr>
        <w:t xml:space="preserve">Decisão metodológica: </w:t>
      </w:r>
      <w:r>
        <w:rPr>
          <w:rFonts w:ascii="Times New Roman" w:cs="Times New Roman" w:eastAsia="Times New Roman" w:hAnsi="Times New Roman"/>
          <w:sz w:val="18"/>
          <w:szCs w:val="18"/>
        </w:rPr>
        <w:t xml:space="preserve">Se tivéssemos comparado equipes de desenvolvimento já formadas — por exemplo, uma equipe que já usava checklist versus outra que revisava ad hoc — o estudo seria um quasi-experimento. As equipes poderiam diferir em maturidade, cultura de qualidade, senioridade dos membros e dezenas de outras variáveis que afetam a detecção de defeitos independentemente da técnica. A aleatorização, que exige formação de grupos a partir do zero, é o que nos permite isolar o efeito da técnica.</w:t>
      </w:r>
    </w:p>
    <w:p>
      <w:pPr>
        <w:spacing w:after="80" w:before="160" w:line="240" w:lineRule="auto"/>
        <w:jc w:val="left"/>
      </w:pPr>
      <w:r>
        <w:rPr>
          <w:rFonts w:ascii="Times New Roman" w:cs="Times New Roman" w:eastAsia="Times New Roman" w:hAnsi="Times New Roman"/>
          <w:b/>
          <w:bCs/>
          <w:i/>
          <w:iCs/>
          <w:sz w:val="20"/>
          <w:szCs w:val="20"/>
        </w:rPr>
        <w:t xml:space="preserve">2.4 Participantes</w:t>
      </w:r>
    </w:p>
    <w:p>
      <w:pPr>
        <w:spacing w:after="120" w:before="0" w:line="240" w:lineRule="auto"/>
        <w:ind/>
        <w:jc w:val="both"/>
      </w:pPr>
      <w:r>
        <w:rPr>
          <w:rFonts w:ascii="Times New Roman" w:cs="Times New Roman" w:eastAsia="Times New Roman" w:hAnsi="Times New Roman"/>
          <w:b w:val="false"/>
          <w:bCs w:val="false"/>
          <w:i w:val="false"/>
          <w:iCs w:val="false"/>
          <w:sz w:val="20"/>
          <w:szCs w:val="20"/>
        </w:rPr>
        <w:t xml:space="preserve">Os participantes foram 30 estudantes de pós-graduação (mestrado e doutorado) em Computação, com experiência prévia mínima autorreportada de dois anos em desenvolvimento Java e familiaridade com revisão de código (pelo menos 10 revisões realizadas nos últimos 12 meses, verificado por questionário de triagem). O uso de estudantes de pós-graduação em vez de profissionais de mercado é uma escolha pragmática comum em experimentos de ES — eles oferecem disponibilidade e homogeneidade de formação — mas representa uma ameaça à validade externa que discutiremos na Seção 5.</w:t>
      </w:r>
    </w:p>
    <w:p>
      <w:pPr>
        <w:spacing w:after="120" w:before="0" w:line="240" w:lineRule="auto"/>
        <w:ind/>
        <w:jc w:val="both"/>
      </w:pPr>
      <w:r>
        <w:rPr>
          <w:rFonts w:ascii="Times New Roman" w:cs="Times New Roman" w:eastAsia="Times New Roman" w:hAnsi="Times New Roman"/>
          <w:b w:val="false"/>
          <w:bCs w:val="false"/>
          <w:i w:val="false"/>
          <w:iCs w:val="false"/>
          <w:sz w:val="20"/>
          <w:szCs w:val="20"/>
        </w:rPr>
        <w:t xml:space="preserve">A análise de poder estatístico (power analysis) realizada a priori, com base em estudos anteriores sobre revisão de código, indicou que uma amostra de 28 participantes seria suficiente para detectar um efeito de tamanho médio (d = 0,50) com poder de 80% e α = 0,05. Recrutamos 30 participantes para absorver potenciais desistências.</w:t>
      </w:r>
    </w:p>
    <w:p>
      <w:pPr>
        <w:shd w:fill="FEF9E7" w:val="clear"/>
        <w:spacing w:after="80" w:before="80" w:line="240" w:lineRule="auto"/>
        <w:ind w:left="360" w:right="360"/>
        <w:jc w:val="both"/>
      </w:pPr>
      <w:r>
        <w:rPr>
          <w:rFonts w:ascii="Times New Roman" w:cs="Times New Roman" w:eastAsia="Times New Roman" w:hAnsi="Times New Roman"/>
          <w:b/>
          <w:bCs/>
          <w:sz w:val="18"/>
          <w:szCs w:val="18"/>
        </w:rPr>
        <w:t xml:space="preserve">Decisão metodológica: </w:t>
      </w:r>
      <w:r>
        <w:rPr>
          <w:rFonts w:ascii="Times New Roman" w:cs="Times New Roman" w:eastAsia="Times New Roman" w:hAnsi="Times New Roman"/>
          <w:sz w:val="18"/>
          <w:szCs w:val="18"/>
        </w:rPr>
        <w:t xml:space="preserve">A análise de poder a priori é um elemento essencial do experimento controlado que frequentemente falta em publicações de ES. Ela responde à pergunta: quantos participantes são necessários para que o experimento seja capaz de detectar o efeito que nos importa? Experimentos com amostras subdimensionadas têm baixo poder — se o efeito existir, o teste provavelmente não o detectará (erro tipo II). Reportar a análise de poder demonstra que o tamanho amostral foi planejado, não arbitrário.</w:t>
      </w:r>
    </w:p>
    <w:p>
      <w:pPr>
        <w:spacing w:after="80" w:before="160" w:line="240" w:lineRule="auto"/>
        <w:jc w:val="left"/>
      </w:pPr>
      <w:r>
        <w:rPr>
          <w:rFonts w:ascii="Times New Roman" w:cs="Times New Roman" w:eastAsia="Times New Roman" w:hAnsi="Times New Roman"/>
          <w:b/>
          <w:bCs/>
          <w:i/>
          <w:iCs/>
          <w:sz w:val="20"/>
          <w:szCs w:val="20"/>
        </w:rPr>
        <w:t xml:space="preserve">2.5 Artefatos e Tratamentos</w:t>
      </w:r>
    </w:p>
    <w:p>
      <w:pPr>
        <w:spacing w:after="120" w:before="0" w:line="240" w:lineRule="auto"/>
        <w:ind/>
        <w:jc w:val="both"/>
      </w:pPr>
      <w:r>
        <w:rPr>
          <w:rFonts w:ascii="Times New Roman" w:cs="Times New Roman" w:eastAsia="Times New Roman" w:hAnsi="Times New Roman"/>
          <w:b w:val="false"/>
          <w:bCs w:val="false"/>
          <w:i w:val="false"/>
          <w:iCs w:val="false"/>
          <w:sz w:val="20"/>
          <w:szCs w:val="20"/>
        </w:rPr>
        <w:t xml:space="preserve">Foram preparados dois artefatos de código Java (A1 e A2), cada um implementando um componente de um sistema fictício de gerenciamento de tarefas. Cada artefato continha 8 defeitos injetados deliberadamente pelos pesquisadores, distribuídos em quatro categorias: (1) defeitos lógicos (condições erradas, inversões de fluxo), (2) defeitos de tratamento de exceção (blocos catch vazios, exceções engolidas), (3) defeitos de segurança básica (concatenação de SQL, ausência de validação de entrada) e (4) defeitos de manutenibilidade (nomes de variáveis enganosos, duplicação de lógica).</w:t>
      </w:r>
    </w:p>
    <w:p>
      <w:pPr>
        <w:spacing w:after="120" w:before="0" w:line="240" w:lineRule="auto"/>
        <w:ind/>
        <w:jc w:val="both"/>
      </w:pPr>
      <w:r>
        <w:rPr>
          <w:rFonts w:ascii="Times New Roman" w:cs="Times New Roman" w:eastAsia="Times New Roman" w:hAnsi="Times New Roman"/>
          <w:b w:val="false"/>
          <w:bCs w:val="false"/>
          <w:i w:val="false"/>
          <w:iCs w:val="false"/>
          <w:sz w:val="20"/>
          <w:szCs w:val="20"/>
        </w:rPr>
        <w:t xml:space="preserve">O checklist utilizado no tratamento RCG continha 20 itens organizados nas mesmas quatro categorias dos defeitos, derivados de checklists estabelecidos na literatura. Os participantes do tratamento RCG receberam o checklist impresso e foram instruídos a marcar cada item à medida que inspecionavam o código. No tratamento RCA, os participantes receberam apenas a instrução 'revisar o código em busca de problemas', sem qualquer estrutura adicional.</w:t>
      </w:r>
    </w:p>
    <w:p>
      <w:pPr>
        <w:spacing w:after="80" w:before="160" w:line="240" w:lineRule="auto"/>
        <w:jc w:val="left"/>
      </w:pPr>
      <w:r>
        <w:rPr>
          <w:rFonts w:ascii="Times New Roman" w:cs="Times New Roman" w:eastAsia="Times New Roman" w:hAnsi="Times New Roman"/>
          <w:b/>
          <w:bCs/>
          <w:i/>
          <w:iCs/>
          <w:sz w:val="20"/>
          <w:szCs w:val="20"/>
        </w:rPr>
        <w:t xml:space="preserve">2.6 Procedimento de Coleta</w:t>
      </w:r>
    </w:p>
    <w:p>
      <w:pPr>
        <w:spacing w:after="120" w:before="0" w:line="240" w:lineRule="auto"/>
        <w:ind/>
        <w:jc w:val="both"/>
      </w:pPr>
      <w:r>
        <w:rPr>
          <w:rFonts w:ascii="Times New Roman" w:cs="Times New Roman" w:eastAsia="Times New Roman" w:hAnsi="Times New Roman"/>
          <w:b w:val="false"/>
          <w:bCs w:val="false"/>
          <w:i w:val="false"/>
          <w:iCs w:val="false"/>
          <w:sz w:val="20"/>
          <w:szCs w:val="20"/>
        </w:rPr>
        <w:t xml:space="preserve">O experimento foi conduzido em uma única sessão de três horas em laboratório, com os participantes individualmente alocados em estações de trabalho idênticas. A sessão seguiu o seguinte protocolo: (1) 20 minutos de treinamento sobre as técnicas; (2) 5 minutos de prática em um artefato de calibração não usado nas análises; (3) 50 minutos para aplicação da primeira técnica ao primeiro artefato; (4) 10 minutos de intervalo; (5) 50 minutos para aplicação da segunda técnica ao segundo artefato. Os participantes registraram os defeitos encontrados em formulários padronizados com linha do tempo.</w:t>
      </w:r>
    </w:p>
    <w:p>
      <w:pPr>
        <w:spacing w:after="80" w:before="160" w:line="240" w:lineRule="auto"/>
        <w:jc w:val="left"/>
      </w:pPr>
      <w:r>
        <w:rPr>
          <w:rFonts w:ascii="Times New Roman" w:cs="Times New Roman" w:eastAsia="Times New Roman" w:hAnsi="Times New Roman"/>
          <w:b/>
          <w:bCs/>
          <w:i/>
          <w:iCs/>
          <w:sz w:val="20"/>
          <w:szCs w:val="20"/>
        </w:rPr>
        <w:t xml:space="preserve">2.7 Variáveis e Medidas</w:t>
      </w:r>
    </w:p>
    <w:p>
      <w:pPr>
        <w:spacing w:after="60" w:before="120"/>
        <w:jc w:val="center"/>
      </w:pPr>
      <w:r>
        <w:rPr>
          <w:rFonts w:ascii="Times New Roman" w:cs="Times New Roman" w:eastAsia="Times New Roman" w:hAnsi="Times New Roman"/>
          <w:b/>
          <w:bCs/>
          <w:sz w:val="18"/>
          <w:szCs w:val="18"/>
        </w:rPr>
        <w:t xml:space="preserve">Tabela 1. Variáveis do Experimento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68"/>
        <w:gridCol w:w="2268"/>
        <w:gridCol w:w="4536"/>
      </w:tblGrid>
      <w:tr>
        <w:tc>
          <w:tcPr>
            <w:tcW w:type="dxa" w:w="2268"/>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bCs/>
                <w:sz w:val="18"/>
                <w:szCs w:val="18"/>
              </w:rPr>
              <w:t xml:space="preserve">Variável</w:t>
            </w:r>
          </w:p>
        </w:tc>
        <w:tc>
          <w:tcPr>
            <w:tcW w:type="dxa" w:w="2268"/>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bCs/>
                <w:sz w:val="18"/>
                <w:szCs w:val="18"/>
              </w:rPr>
              <w:t xml:space="preserve">Tipo</w:t>
            </w:r>
          </w:p>
        </w:tc>
        <w:tc>
          <w:tcPr>
            <w:tcW w:type="dxa" w:w="4536"/>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bCs/>
                <w:sz w:val="18"/>
                <w:szCs w:val="18"/>
              </w:rPr>
              <w:t xml:space="preserve">Operacionalização</w:t>
            </w:r>
          </w:p>
        </w:tc>
      </w:tr>
      <w:tr>
        <w:tc>
          <w:tcPr>
            <w:tcW w:type="dxa" w:w="2268"/>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Técnica de revisão</w:t>
            </w:r>
          </w:p>
        </w:tc>
        <w:tc>
          <w:tcPr>
            <w:tcW w:type="dxa" w:w="2268"/>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Independente (VI)</w:t>
            </w:r>
          </w:p>
        </w:tc>
        <w:tc>
          <w:tcPr>
            <w:tcW w:type="dxa" w:w="453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RCG (checklist 20 itens) vs. RCA (sem estrutura)</w:t>
            </w:r>
          </w:p>
        </w:tc>
      </w:tr>
      <w:tr>
        <w:tc>
          <w:tcPr>
            <w:tcW w:type="dxa" w:w="2268"/>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Taxa de detecção</w:t>
            </w:r>
          </w:p>
        </w:tc>
        <w:tc>
          <w:tcPr>
            <w:tcW w:type="dxa" w:w="2268"/>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Dependente principal (VD)</w:t>
            </w:r>
          </w:p>
        </w:tc>
        <w:tc>
          <w:tcPr>
            <w:tcW w:type="dxa" w:w="453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Proporção de defeitos injetados corretamente identificados (0–1)</w:t>
            </w:r>
          </w:p>
        </w:tc>
      </w:tr>
      <w:tr>
        <w:tc>
          <w:tcPr>
            <w:tcW w:type="dxa" w:w="2268"/>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Tempo de revisão</w:t>
            </w:r>
          </w:p>
        </w:tc>
        <w:tc>
          <w:tcPr>
            <w:tcW w:type="dxa" w:w="2268"/>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Dependente secundária (VD)</w:t>
            </w:r>
          </w:p>
        </w:tc>
        <w:tc>
          <w:tcPr>
            <w:tcW w:type="dxa" w:w="453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Minutos entre início e entrega do formulário</w:t>
            </w:r>
          </w:p>
        </w:tc>
      </w:tr>
      <w:tr>
        <w:tc>
          <w:tcPr>
            <w:tcW w:type="dxa" w:w="2268"/>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Experiência do revisor</w:t>
            </w:r>
          </w:p>
        </w:tc>
        <w:tc>
          <w:tcPr>
            <w:tcW w:type="dxa" w:w="2268"/>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Covariável (controlada)</w:t>
            </w:r>
          </w:p>
        </w:tc>
        <w:tc>
          <w:tcPr>
            <w:tcW w:type="dxa" w:w="453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Anos de experiência em Java (questionário de triagem)</w:t>
            </w:r>
          </w:p>
        </w:tc>
      </w:tr>
      <w:tr>
        <w:tc>
          <w:tcPr>
            <w:tcW w:type="dxa" w:w="2268"/>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Complexidade do artefato</w:t>
            </w:r>
          </w:p>
        </w:tc>
        <w:tc>
          <w:tcPr>
            <w:tcW w:type="dxa" w:w="2268"/>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Covariável (controlada)</w:t>
            </w:r>
          </w:p>
        </w:tc>
        <w:tc>
          <w:tcPr>
            <w:tcW w:type="dxa" w:w="453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Linhas de código, complexidade ciclomática (McCabe)</w:t>
            </w:r>
          </w:p>
        </w:tc>
      </w:tr>
      <w:tr>
        <w:tc>
          <w:tcPr>
            <w:tcW w:type="dxa" w:w="2268"/>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Sequência de aplicação</w:t>
            </w:r>
          </w:p>
        </w:tc>
        <w:tc>
          <w:tcPr>
            <w:tcW w:type="dxa" w:w="2268"/>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Fator de bloco (contrabalanceado)</w:t>
            </w:r>
          </w:p>
        </w:tc>
        <w:tc>
          <w:tcPr>
            <w:tcW w:type="dxa" w:w="453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RCG→RCA ou RCA→RCG (designação aleatória)</w:t>
            </w:r>
          </w:p>
        </w:tc>
      </w:tr>
    </w:tbl>
    <w:p>
      <w:pPr>
        <w:spacing w:after="0" w:before="60"/>
      </w:pPr>
      <w:r>
        <w:t xml:space="preserve"/>
      </w:r>
    </w:p>
    <w:p>
      <w:pPr>
        <w:spacing w:after="80" w:before="160" w:line="240" w:lineRule="auto"/>
        <w:jc w:val="left"/>
      </w:pPr>
      <w:r>
        <w:rPr>
          <w:rFonts w:ascii="Times New Roman" w:cs="Times New Roman" w:eastAsia="Times New Roman" w:hAnsi="Times New Roman"/>
          <w:b/>
          <w:bCs/>
          <w:i/>
          <w:iCs/>
          <w:sz w:val="20"/>
          <w:szCs w:val="20"/>
        </w:rPr>
        <w:t xml:space="preserve">2.8 Análise Estatística</w:t>
      </w:r>
    </w:p>
    <w:p>
      <w:pPr>
        <w:spacing w:after="120" w:before="0" w:line="240" w:lineRule="auto"/>
        <w:ind/>
        <w:jc w:val="both"/>
      </w:pPr>
      <w:r>
        <w:rPr>
          <w:rFonts w:ascii="Times New Roman" w:cs="Times New Roman" w:eastAsia="Times New Roman" w:hAnsi="Times New Roman"/>
          <w:b w:val="false"/>
          <w:bCs w:val="false"/>
          <w:i w:val="false"/>
          <w:iCs w:val="false"/>
          <w:sz w:val="20"/>
          <w:szCs w:val="20"/>
        </w:rPr>
        <w:t xml:space="preserve">A variável dependente principal — taxa de detecção de defeitos — foi analisada com o teste t de Student para amostras pareadas (paired t-test), apropriado para designs within-subjects com dois tratamentos. Antes de aplicar o teste, verificamos seus pressupostos: (a) normalidade das diferenças pareadas, avaliada pelo teste de Shapiro-Wilk (p = 0,34, não rejeitamos normalidade); (b) ausência de outliers extremos nas diferenças, verificada por inspeção de boxplot.</w:t>
      </w:r>
    </w:p>
    <w:p>
      <w:pPr>
        <w:spacing w:after="120" w:before="0" w:line="240" w:lineRule="auto"/>
        <w:ind/>
        <w:jc w:val="both"/>
      </w:pPr>
      <w:r>
        <w:rPr>
          <w:rFonts w:ascii="Times New Roman" w:cs="Times New Roman" w:eastAsia="Times New Roman" w:hAnsi="Times New Roman"/>
          <w:b w:val="false"/>
          <w:bCs w:val="false"/>
          <w:i w:val="false"/>
          <w:iCs w:val="false"/>
          <w:sz w:val="20"/>
          <w:szCs w:val="20"/>
        </w:rPr>
        <w:t xml:space="preserve">O nível de significância adotado foi α = 0,05 (unicaudal, dado que H₁ é direcional). Além do p-valor, reportamos o tamanho do efeito pelo d de Cohen, que quantifica a magnitude da diferença independentemente do tamanho amostral — porque significância estatística não implica relevância prática. Para o tempo de revisão (VD secundária), aplicamos o mesmo procedimento com teste bicaudal (H₁ não direcional: esperamos diferença, mas não sabemos em qual direção).</w:t>
      </w:r>
    </w:p>
    <w:p>
      <w:pPr>
        <w:spacing w:after="120" w:before="0" w:line="240" w:lineRule="auto"/>
        <w:ind/>
        <w:jc w:val="both"/>
      </w:pPr>
      <w:r>
        <w:rPr>
          <w:rFonts w:ascii="Times New Roman" w:cs="Times New Roman" w:eastAsia="Times New Roman" w:hAnsi="Times New Roman"/>
          <w:b w:val="false"/>
          <w:bCs w:val="false"/>
          <w:i w:val="false"/>
          <w:iCs w:val="false"/>
          <w:sz w:val="20"/>
          <w:szCs w:val="20"/>
        </w:rPr>
        <w:t xml:space="preserve">Para investigar se a sequência de aplicação (ordem dos tratamentos) influenciou os resultados, incluímos a sequência como fator entre-sujeitos em uma ANOVA mista, com técnica como fator intra-sujeitos e sequência como fator entre-sujeitos. A ausência de interação significativa entre técnica e sequência indicaria que os efeitos de ordem foram controlados com sucesso pelo contrabalanceamento.</w:t>
      </w:r>
    </w:p>
    <w:p>
      <w:pPr>
        <w:spacing w:after="120" w:before="240" w:line="240" w:lineRule="auto"/>
        <w:jc w:val="left"/>
      </w:pPr>
      <w:r>
        <w:rPr>
          <w:rFonts w:ascii="Times New Roman" w:cs="Times New Roman" w:eastAsia="Times New Roman" w:hAnsi="Times New Roman"/>
          <w:b/>
          <w:bCs/>
          <w:sz w:val="22"/>
          <w:szCs w:val="22"/>
        </w:rPr>
        <w:t xml:space="preserve">3. RESULTADOS</w:t>
      </w:r>
    </w:p>
    <w:p>
      <w:pPr>
        <w:spacing w:after="80" w:before="160" w:line="240" w:lineRule="auto"/>
        <w:jc w:val="left"/>
      </w:pPr>
      <w:r>
        <w:rPr>
          <w:rFonts w:ascii="Times New Roman" w:cs="Times New Roman" w:eastAsia="Times New Roman" w:hAnsi="Times New Roman"/>
          <w:b/>
          <w:bCs/>
          <w:i/>
          <w:iCs/>
          <w:sz w:val="20"/>
          <w:szCs w:val="20"/>
        </w:rPr>
        <w:t xml:space="preserve">3.1 Estatísticas Descritivas</w:t>
      </w:r>
    </w:p>
    <w:p>
      <w:pPr>
        <w:spacing w:after="120" w:before="0" w:line="240" w:lineRule="auto"/>
        <w:ind/>
        <w:jc w:val="both"/>
      </w:pPr>
      <w:r>
        <w:rPr>
          <w:rFonts w:ascii="Times New Roman" w:cs="Times New Roman" w:eastAsia="Times New Roman" w:hAnsi="Times New Roman"/>
          <w:b w:val="false"/>
          <w:bCs w:val="false"/>
          <w:i w:val="false"/>
          <w:iCs w:val="false"/>
          <w:sz w:val="20"/>
          <w:szCs w:val="20"/>
        </w:rPr>
        <w:t xml:space="preserve">A Tabela 2 apresenta as estatísticas descritivas das duas variáveis dependentes por tratamento. Os dados indicam diferença substancial na taxa de detecção média entre as técnicas: participantes usando checklist identificaram em média 68,3% dos defeitos, contra 52,1% na revisão ad hoc — uma diferença absoluta de 16,2 pontos percentuais.</w:t>
      </w:r>
    </w:p>
    <w:p>
      <w:pPr>
        <w:spacing w:after="60" w:before="120"/>
        <w:jc w:val="center"/>
      </w:pPr>
      <w:r>
        <w:rPr>
          <w:rFonts w:ascii="Times New Roman" w:cs="Times New Roman" w:eastAsia="Times New Roman" w:hAnsi="Times New Roman"/>
          <w:b/>
          <w:bCs/>
          <w:sz w:val="18"/>
          <w:szCs w:val="18"/>
        </w:rPr>
        <w:t xml:space="preserve">Tabela 2. Estatísticas Descritivas por Tratamento (N=30)</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721"/>
        <w:gridCol w:w="1633"/>
        <w:gridCol w:w="1633"/>
        <w:gridCol w:w="1542"/>
        <w:gridCol w:w="1542"/>
      </w:tblGrid>
      <w:tr>
        <w:tc>
          <w:tcPr>
            <w:tcW w:type="dxa" w:w="2721"/>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bCs/>
                <w:sz w:val="18"/>
                <w:szCs w:val="18"/>
              </w:rPr>
              <w:t xml:space="preserve">Variável</w:t>
            </w:r>
          </w:p>
        </w:tc>
        <w:tc>
          <w:tcPr>
            <w:tcW w:type="dxa" w:w="1633"/>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bCs/>
                <w:sz w:val="18"/>
                <w:szCs w:val="18"/>
              </w:rPr>
              <w:t xml:space="preserve">Técnica</w:t>
            </w:r>
          </w:p>
        </w:tc>
        <w:tc>
          <w:tcPr>
            <w:tcW w:type="dxa" w:w="1633"/>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bCs/>
                <w:sz w:val="18"/>
                <w:szCs w:val="18"/>
              </w:rPr>
              <w:t xml:space="preserve">Média</w:t>
            </w:r>
          </w:p>
        </w:tc>
        <w:tc>
          <w:tcPr>
            <w:tcW w:type="dxa" w:w="1542"/>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bCs/>
                <w:sz w:val="18"/>
                <w:szCs w:val="18"/>
              </w:rPr>
              <w:t xml:space="preserve">DP</w:t>
            </w:r>
          </w:p>
        </w:tc>
        <w:tc>
          <w:tcPr>
            <w:tcW w:type="dxa" w:w="1542"/>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bCs/>
                <w:sz w:val="18"/>
                <w:szCs w:val="18"/>
              </w:rPr>
              <w:t xml:space="preserve">Mín–Máx</w:t>
            </w:r>
          </w:p>
        </w:tc>
      </w:tr>
      <w:tr>
        <w:tc>
          <w:tcPr>
            <w:tcW w:type="dxa" w:w="2721"/>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Taxa de detecção (%)</w:t>
            </w:r>
          </w:p>
        </w:tc>
        <w:tc>
          <w:tcPr>
            <w:tcW w:type="dxa" w:w="1633"/>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RCG (checklist)</w:t>
            </w:r>
          </w:p>
        </w:tc>
        <w:tc>
          <w:tcPr>
            <w:tcW w:type="dxa" w:w="1633"/>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68,3%</w:t>
            </w:r>
          </w:p>
        </w:tc>
        <w:tc>
          <w:tcPr>
            <w:tcW w:type="dxa" w:w="1542"/>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11,4%</w:t>
            </w:r>
          </w:p>
        </w:tc>
        <w:tc>
          <w:tcPr>
            <w:tcW w:type="dxa" w:w="1542"/>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43,8–87,5%</w:t>
            </w:r>
          </w:p>
        </w:tc>
      </w:tr>
      <w:tr>
        <w:tc>
          <w:tcPr>
            <w:tcW w:type="dxa" w:w="2721"/>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
            </w:r>
          </w:p>
        </w:tc>
        <w:tc>
          <w:tcPr>
            <w:tcW w:type="dxa" w:w="1633"/>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RCA (ad hoc)</w:t>
            </w:r>
          </w:p>
        </w:tc>
        <w:tc>
          <w:tcPr>
            <w:tcW w:type="dxa" w:w="1633"/>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52,1%</w:t>
            </w:r>
          </w:p>
        </w:tc>
        <w:tc>
          <w:tcPr>
            <w:tcW w:type="dxa" w:w="1542"/>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14,7%</w:t>
            </w:r>
          </w:p>
        </w:tc>
        <w:tc>
          <w:tcPr>
            <w:tcW w:type="dxa" w:w="1542"/>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25,0–75,0%</w:t>
            </w:r>
          </w:p>
        </w:tc>
      </w:tr>
      <w:tr>
        <w:tc>
          <w:tcPr>
            <w:tcW w:type="dxa" w:w="2721"/>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Tempo de revisão (min)</w:t>
            </w:r>
          </w:p>
        </w:tc>
        <w:tc>
          <w:tcPr>
            <w:tcW w:type="dxa" w:w="1633"/>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RCG (checklist)</w:t>
            </w:r>
          </w:p>
        </w:tc>
        <w:tc>
          <w:tcPr>
            <w:tcW w:type="dxa" w:w="1633"/>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41,2</w:t>
            </w:r>
          </w:p>
        </w:tc>
        <w:tc>
          <w:tcPr>
            <w:tcW w:type="dxa" w:w="1542"/>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6,8</w:t>
            </w:r>
          </w:p>
        </w:tc>
        <w:tc>
          <w:tcPr>
            <w:tcW w:type="dxa" w:w="1542"/>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28–52</w:t>
            </w:r>
          </w:p>
        </w:tc>
      </w:tr>
      <w:tr>
        <w:tc>
          <w:tcPr>
            <w:tcW w:type="dxa" w:w="2721"/>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
            </w:r>
          </w:p>
        </w:tc>
        <w:tc>
          <w:tcPr>
            <w:tcW w:type="dxa" w:w="1633"/>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RCA (ad hoc)</w:t>
            </w:r>
          </w:p>
        </w:tc>
        <w:tc>
          <w:tcPr>
            <w:tcW w:type="dxa" w:w="1633"/>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38,7</w:t>
            </w:r>
          </w:p>
        </w:tc>
        <w:tc>
          <w:tcPr>
            <w:tcW w:type="dxa" w:w="1542"/>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8,1</w:t>
            </w:r>
          </w:p>
        </w:tc>
        <w:tc>
          <w:tcPr>
            <w:tcW w:type="dxa" w:w="1542"/>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22–54</w:t>
            </w:r>
          </w:p>
        </w:tc>
      </w:tr>
    </w:tbl>
    <w:p>
      <w:pPr>
        <w:spacing w:after="0" w:before="60"/>
      </w:pPr>
      <w:r>
        <w:t xml:space="preserve"/>
      </w:r>
    </w:p>
    <w:p>
      <w:pPr>
        <w:spacing w:after="120" w:before="0" w:line="240" w:lineRule="auto"/>
        <w:ind/>
        <w:jc w:val="both"/>
      </w:pPr>
      <w:r>
        <w:rPr>
          <w:rFonts w:ascii="Times New Roman" w:cs="Times New Roman" w:eastAsia="Times New Roman" w:hAnsi="Times New Roman"/>
          <w:b w:val="false"/>
          <w:bCs w:val="false"/>
          <w:i w:val="false"/>
          <w:iCs w:val="false"/>
          <w:sz w:val="20"/>
          <w:szCs w:val="20"/>
        </w:rPr>
        <w:t xml:space="preserve">A distribuição das taxas de detecção foi mais dispersa para a RCA (DP = 14,7%) do que para a RCG (DP = 11,4%), sugerindo que a revisão sem estrutura produz resultados mais heterogêneos entre participantes. Alguns revisores ad hoc obtiveram taxas próximas às do checklist, enquanto outros ficaram muito abaixo — o que é consistente com a hipótese de que a variabilidade interindividual é amplificada na ausência de estrutura.</w:t>
      </w:r>
    </w:p>
    <w:p>
      <w:pPr>
        <w:spacing w:after="80" w:before="160" w:line="240" w:lineRule="auto"/>
        <w:jc w:val="left"/>
      </w:pPr>
      <w:r>
        <w:rPr>
          <w:rFonts w:ascii="Times New Roman" w:cs="Times New Roman" w:eastAsia="Times New Roman" w:hAnsi="Times New Roman"/>
          <w:b/>
          <w:bCs/>
          <w:i/>
          <w:iCs/>
          <w:sz w:val="20"/>
          <w:szCs w:val="20"/>
        </w:rPr>
        <w:t xml:space="preserve">3.2 Teste de Hipótese — Taxa de Detecção (VD Principal)</w:t>
      </w:r>
    </w:p>
    <w:p>
      <w:pPr>
        <w:spacing w:after="120" w:before="0" w:line="240" w:lineRule="auto"/>
        <w:ind/>
        <w:jc w:val="both"/>
      </w:pPr>
      <w:r>
        <w:rPr>
          <w:rFonts w:ascii="Times New Roman" w:cs="Times New Roman" w:eastAsia="Times New Roman" w:hAnsi="Times New Roman"/>
          <w:b w:val="false"/>
          <w:bCs w:val="false"/>
          <w:i w:val="false"/>
          <w:iCs w:val="false"/>
          <w:sz w:val="20"/>
          <w:szCs w:val="20"/>
        </w:rPr>
        <w:t xml:space="preserve">O teste t pareado sobre as diferenças individuais (RCG − RCA) indicou que a revisão com checklist produziu taxa de detecção significativamente superior à revisão ad hoc (t(29) = 4,12, p &lt; 0,001, unicaudal). O d de Cohen foi 0,75, classificado como efeito grande pela convenção de Cohen (1988). A Tabela 3 apresenta os resultados completos do teste.</w:t>
      </w:r>
    </w:p>
    <w:p>
      <w:pPr>
        <w:spacing w:after="60" w:before="120"/>
        <w:jc w:val="center"/>
      </w:pPr>
      <w:r>
        <w:rPr>
          <w:rFonts w:ascii="Times New Roman" w:cs="Times New Roman" w:eastAsia="Times New Roman" w:hAnsi="Times New Roman"/>
          <w:b/>
          <w:bCs/>
          <w:sz w:val="18"/>
          <w:szCs w:val="18"/>
        </w:rPr>
        <w:t xml:space="preserve">Tabela 3. Resultado do Teste t Pareado — Taxa de Detecção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628"/>
        <w:gridCol w:w="5443"/>
      </w:tblGrid>
      <w:tr>
        <w:tc>
          <w:tcPr>
            <w:tcW w:type="dxa" w:w="3628"/>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bCs/>
                <w:sz w:val="18"/>
                <w:szCs w:val="18"/>
              </w:rPr>
              <w:t xml:space="preserve">Estatística</w:t>
            </w:r>
          </w:p>
        </w:tc>
        <w:tc>
          <w:tcPr>
            <w:tcW w:type="dxa" w:w="5443"/>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bCs/>
                <w:sz w:val="18"/>
                <w:szCs w:val="18"/>
              </w:rPr>
              <w:t xml:space="preserve">Valor</w:t>
            </w:r>
          </w:p>
        </w:tc>
      </w:tr>
      <w:tr>
        <w:tc>
          <w:tcPr>
            <w:tcW w:type="dxa" w:w="3628"/>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Diferença média (RCG − RCA)</w:t>
            </w:r>
          </w:p>
        </w:tc>
        <w:tc>
          <w:tcPr>
            <w:tcW w:type="dxa" w:w="5443"/>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16,2 pontos percentuais (IC 95%: 8,4–24,0 p.p.)</w:t>
            </w:r>
          </w:p>
        </w:tc>
      </w:tr>
      <w:tr>
        <w:tc>
          <w:tcPr>
            <w:tcW w:type="dxa" w:w="3628"/>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Estatística t</w:t>
            </w:r>
          </w:p>
        </w:tc>
        <w:tc>
          <w:tcPr>
            <w:tcW w:type="dxa" w:w="5443"/>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t(29) = 4,12</w:t>
            </w:r>
          </w:p>
        </w:tc>
      </w:tr>
      <w:tr>
        <w:tc>
          <w:tcPr>
            <w:tcW w:type="dxa" w:w="3628"/>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p-valor (unicaudal)</w:t>
            </w:r>
          </w:p>
        </w:tc>
        <w:tc>
          <w:tcPr>
            <w:tcW w:type="dxa" w:w="5443"/>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p &lt; 0,001</w:t>
            </w:r>
          </w:p>
        </w:tc>
      </w:tr>
      <w:tr>
        <w:tc>
          <w:tcPr>
            <w:tcW w:type="dxa" w:w="3628"/>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d de Cohen</w:t>
            </w:r>
          </w:p>
        </w:tc>
        <w:tc>
          <w:tcPr>
            <w:tcW w:type="dxa" w:w="5443"/>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0,75 (efeito grande)</w:t>
            </w:r>
          </w:p>
        </w:tc>
      </w:tr>
      <w:tr>
        <w:tc>
          <w:tcPr>
            <w:tcW w:type="dxa" w:w="3628"/>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Decisão</w:t>
            </w:r>
          </w:p>
        </w:tc>
        <w:tc>
          <w:tcPr>
            <w:tcW w:type="dxa" w:w="5443"/>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Rejeitamos H₀. A RCG é superior à RCA na detecção de defeitos.</w:t>
            </w:r>
          </w:p>
        </w:tc>
      </w:tr>
    </w:tbl>
    <w:p>
      <w:pPr>
        <w:spacing w:after="0" w:before="60"/>
      </w:pPr>
      <w:r>
        <w:t xml:space="preserve"/>
      </w:r>
    </w:p>
    <w:p>
      <w:pPr>
        <w:spacing w:after="120" w:before="0" w:line="240" w:lineRule="auto"/>
        <w:ind/>
        <w:jc w:val="both"/>
      </w:pPr>
      <w:r>
        <w:rPr>
          <w:rFonts w:ascii="Times New Roman" w:cs="Times New Roman" w:eastAsia="Times New Roman" w:hAnsi="Times New Roman"/>
          <w:b w:val="false"/>
          <w:bCs w:val="false"/>
          <w:i w:val="false"/>
          <w:iCs w:val="false"/>
          <w:sz w:val="20"/>
          <w:szCs w:val="20"/>
        </w:rPr>
        <w:t xml:space="preserve">O intervalo de confiança de 95% para a diferença média (8,4 a 24,0 p.p.) não inclui zero, o que confirma a significância e oferece uma estimativa da faixa plausível para o efeito verdadeiro. O limite inferior do IC (8,4 p.p.) representa o ganho mínimo que esperaríamos observar na população se o experimento fosse replicado com outra amostra.</w:t>
      </w:r>
    </w:p>
    <w:p>
      <w:pPr>
        <w:spacing w:after="80" w:before="160" w:line="240" w:lineRule="auto"/>
        <w:jc w:val="left"/>
      </w:pPr>
      <w:r>
        <w:rPr>
          <w:rFonts w:ascii="Times New Roman" w:cs="Times New Roman" w:eastAsia="Times New Roman" w:hAnsi="Times New Roman"/>
          <w:b/>
          <w:bCs/>
          <w:i/>
          <w:iCs/>
          <w:sz w:val="20"/>
          <w:szCs w:val="20"/>
        </w:rPr>
        <w:t xml:space="preserve">3.3 Análise por Categoria de Defeito</w:t>
      </w:r>
    </w:p>
    <w:p>
      <w:pPr>
        <w:spacing w:after="120" w:before="0" w:line="240" w:lineRule="auto"/>
        <w:ind/>
        <w:jc w:val="both"/>
      </w:pPr>
      <w:r>
        <w:rPr>
          <w:rFonts w:ascii="Times New Roman" w:cs="Times New Roman" w:eastAsia="Times New Roman" w:hAnsi="Times New Roman"/>
          <w:b w:val="false"/>
          <w:bCs w:val="false"/>
          <w:i w:val="false"/>
          <w:iCs w:val="false"/>
          <w:sz w:val="20"/>
          <w:szCs w:val="20"/>
        </w:rPr>
        <w:t xml:space="preserve">A Tabela 4 decompõe a taxa de detecção por categoria de defeito, revelando que o efeito do checklist não é uniforme. A diferença é maior para defeitos de tratamento de exceção (+28,3 p.p.) e defeitos lógicos (+21,7 p.p.) do que para defeitos de segurança básica (+10,2 p.p.) e manutenibilidade (+8,8 p.p.).</w:t>
      </w:r>
    </w:p>
    <w:p>
      <w:pPr>
        <w:spacing w:after="60" w:before="120"/>
        <w:jc w:val="center"/>
      </w:pPr>
      <w:r>
        <w:rPr>
          <w:rFonts w:ascii="Times New Roman" w:cs="Times New Roman" w:eastAsia="Times New Roman" w:hAnsi="Times New Roman"/>
          <w:b/>
          <w:bCs/>
          <w:sz w:val="18"/>
          <w:szCs w:val="18"/>
        </w:rPr>
        <w:t xml:space="preserve">Tabela 4. Taxa de Detecção por Categoria de Defeito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447"/>
        <w:gridCol w:w="1996"/>
        <w:gridCol w:w="1996"/>
        <w:gridCol w:w="1633"/>
      </w:tblGrid>
      <w:tr>
        <w:tc>
          <w:tcPr>
            <w:tcW w:type="dxa" w:w="3447"/>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bCs/>
                <w:sz w:val="18"/>
                <w:szCs w:val="18"/>
              </w:rPr>
              <w:t xml:space="preserve">Categoria de Defeito</w:t>
            </w:r>
          </w:p>
        </w:tc>
        <w:tc>
          <w:tcPr>
            <w:tcW w:type="dxa" w:w="1996"/>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bCs/>
                <w:sz w:val="18"/>
                <w:szCs w:val="18"/>
              </w:rPr>
              <w:t xml:space="preserve">RCG (%)</w:t>
            </w:r>
          </w:p>
        </w:tc>
        <w:tc>
          <w:tcPr>
            <w:tcW w:type="dxa" w:w="1996"/>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bCs/>
                <w:sz w:val="18"/>
                <w:szCs w:val="18"/>
              </w:rPr>
              <w:t xml:space="preserve">RCA (%)</w:t>
            </w:r>
          </w:p>
        </w:tc>
        <w:tc>
          <w:tcPr>
            <w:tcW w:type="dxa" w:w="1633"/>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bCs/>
                <w:sz w:val="18"/>
                <w:szCs w:val="18"/>
              </w:rPr>
              <w:t xml:space="preserve">Δ (p.p.)</w:t>
            </w:r>
          </w:p>
        </w:tc>
      </w:tr>
      <w:tr>
        <w:tc>
          <w:tcPr>
            <w:tcW w:type="dxa" w:w="3447"/>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Tratamento de exceção</w:t>
            </w:r>
          </w:p>
        </w:tc>
        <w:tc>
          <w:tcPr>
            <w:tcW w:type="dxa" w:w="199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79,2%</w:t>
            </w:r>
          </w:p>
        </w:tc>
        <w:tc>
          <w:tcPr>
            <w:tcW w:type="dxa" w:w="199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50,9%</w:t>
            </w:r>
          </w:p>
        </w:tc>
        <w:tc>
          <w:tcPr>
            <w:tcW w:type="dxa" w:w="1633"/>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+28,3</w:t>
            </w:r>
          </w:p>
        </w:tc>
      </w:tr>
      <w:tr>
        <w:tc>
          <w:tcPr>
            <w:tcW w:type="dxa" w:w="3447"/>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Defeitos lógicos</w:t>
            </w:r>
          </w:p>
        </w:tc>
        <w:tc>
          <w:tcPr>
            <w:tcW w:type="dxa" w:w="199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72,5%</w:t>
            </w:r>
          </w:p>
        </w:tc>
        <w:tc>
          <w:tcPr>
            <w:tcW w:type="dxa" w:w="199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50,8%</w:t>
            </w:r>
          </w:p>
        </w:tc>
        <w:tc>
          <w:tcPr>
            <w:tcW w:type="dxa" w:w="1633"/>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+21,7</w:t>
            </w:r>
          </w:p>
        </w:tc>
      </w:tr>
      <w:tr>
        <w:tc>
          <w:tcPr>
            <w:tcW w:type="dxa" w:w="3447"/>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Segurança básica</w:t>
            </w:r>
          </w:p>
        </w:tc>
        <w:tc>
          <w:tcPr>
            <w:tcW w:type="dxa" w:w="199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61,7%</w:t>
            </w:r>
          </w:p>
        </w:tc>
        <w:tc>
          <w:tcPr>
            <w:tcW w:type="dxa" w:w="199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51,5%</w:t>
            </w:r>
          </w:p>
        </w:tc>
        <w:tc>
          <w:tcPr>
            <w:tcW w:type="dxa" w:w="1633"/>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+10,2</w:t>
            </w:r>
          </w:p>
        </w:tc>
      </w:tr>
      <w:tr>
        <w:tc>
          <w:tcPr>
            <w:tcW w:type="dxa" w:w="3447"/>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Manutenibilidade</w:t>
            </w:r>
          </w:p>
        </w:tc>
        <w:tc>
          <w:tcPr>
            <w:tcW w:type="dxa" w:w="199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58,3%</w:t>
            </w:r>
          </w:p>
        </w:tc>
        <w:tc>
          <w:tcPr>
            <w:tcW w:type="dxa" w:w="199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49,5%</w:t>
            </w:r>
          </w:p>
        </w:tc>
        <w:tc>
          <w:tcPr>
            <w:tcW w:type="dxa" w:w="1633"/>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+8,8</w:t>
            </w:r>
          </w:p>
        </w:tc>
      </w:tr>
    </w:tbl>
    <w:p>
      <w:pPr>
        <w:spacing w:after="0" w:before="60"/>
      </w:pPr>
      <w:r>
        <w:t xml:space="preserve"/>
      </w:r>
    </w:p>
    <w:p>
      <w:pPr>
        <w:spacing w:after="120" w:before="0" w:line="240" w:lineRule="auto"/>
        <w:ind/>
        <w:jc w:val="both"/>
      </w:pPr>
      <w:r>
        <w:rPr>
          <w:rFonts w:ascii="Times New Roman" w:cs="Times New Roman" w:eastAsia="Times New Roman" w:hAnsi="Times New Roman"/>
          <w:b w:val="false"/>
          <w:bCs w:val="false"/>
          <w:i w:val="false"/>
          <w:iCs w:val="false"/>
          <w:sz w:val="20"/>
          <w:szCs w:val="20"/>
        </w:rPr>
        <w:t xml:space="preserve">O padrão diferencial sugere uma interpretação: defeitos de tratamento de exceção e defeitos lógicos tendem a ser sutis e fáceis de passar despercebidos sem um lembrete explícito — exatamente o papel do checklist. Já defeitos de segurança e manutenibilidade, quando presentes, são frequentemente detectados mesmo sem estrutura porque são mais salientes visualmente (ex.: concatenação direta de SQL é um padrão reconhecível). Essa interpretação permanece especulativa e deveria ser investigada em estudos futuros com design específico para comparar categorias.</w:t>
      </w:r>
    </w:p>
    <w:p>
      <w:pPr>
        <w:spacing w:after="80" w:before="160" w:line="240" w:lineRule="auto"/>
        <w:jc w:val="left"/>
      </w:pPr>
      <w:r>
        <w:rPr>
          <w:rFonts w:ascii="Times New Roman" w:cs="Times New Roman" w:eastAsia="Times New Roman" w:hAnsi="Times New Roman"/>
          <w:b/>
          <w:bCs/>
          <w:i/>
          <w:iCs/>
          <w:sz w:val="20"/>
          <w:szCs w:val="20"/>
        </w:rPr>
        <w:t xml:space="preserve">3.4 Tempo de Revisão (VD Secundária) e Efeito de Ordem</w:t>
      </w:r>
    </w:p>
    <w:p>
      <w:pPr>
        <w:spacing w:after="120" w:before="0" w:line="240" w:lineRule="auto"/>
        <w:ind/>
        <w:jc w:val="both"/>
      </w:pPr>
      <w:r>
        <w:rPr>
          <w:rFonts w:ascii="Times New Roman" w:cs="Times New Roman" w:eastAsia="Times New Roman" w:hAnsi="Times New Roman"/>
          <w:b w:val="false"/>
          <w:bCs w:val="false"/>
          <w:i w:val="false"/>
          <w:iCs w:val="false"/>
          <w:sz w:val="20"/>
          <w:szCs w:val="20"/>
        </w:rPr>
        <w:t xml:space="preserve">O tempo médio de revisão não diferiu significativamente entre as técnicas (RCG: 41,2 min; RCA: 38,7 min; t(29) = 1,27, p = 0,21, bicaudal). Esse resultado é relevante do ponto de vista prático: a RCG produziu mais detecções sem custo adicional de tempo significativo.</w:t>
      </w:r>
    </w:p>
    <w:p>
      <w:pPr>
        <w:spacing w:after="120" w:before="0" w:line="240" w:lineRule="auto"/>
        <w:ind/>
        <w:jc w:val="both"/>
      </w:pPr>
      <w:r>
        <w:rPr>
          <w:rFonts w:ascii="Times New Roman" w:cs="Times New Roman" w:eastAsia="Times New Roman" w:hAnsi="Times New Roman"/>
          <w:b w:val="false"/>
          <w:bCs w:val="false"/>
          <w:i w:val="false"/>
          <w:iCs w:val="false"/>
          <w:sz w:val="20"/>
          <w:szCs w:val="20"/>
        </w:rPr>
        <w:t xml:space="preserve">A ANOVA mista para verificação de efeito de ordem não indicou interação significativa entre técnica e sequência (F(1,28) = 0,43, p = 0,52), sugerindo que o contrabalanceamento foi efetivo no controle de efeitos de aprendizagem e fadiga. Participantes que aplicaram RCG primeiro obtiveram taxas similares aos que a aplicaram segundo, e o mesmo vale para RCA.</w:t>
      </w:r>
    </w:p>
    <w:p>
      <w:pPr>
        <w:spacing w:after="120" w:before="240" w:line="240" w:lineRule="auto"/>
        <w:jc w:val="left"/>
      </w:pPr>
      <w:r>
        <w:rPr>
          <w:rFonts w:ascii="Times New Roman" w:cs="Times New Roman" w:eastAsia="Times New Roman" w:hAnsi="Times New Roman"/>
          <w:b/>
          <w:bCs/>
          <w:sz w:val="22"/>
          <w:szCs w:val="22"/>
        </w:rPr>
        <w:t xml:space="preserve">4. DISCUSSÃO</w:t>
      </w:r>
    </w:p>
    <w:p>
      <w:pPr>
        <w:spacing w:after="80" w:before="160" w:line="240" w:lineRule="auto"/>
        <w:jc w:val="left"/>
      </w:pPr>
      <w:r>
        <w:rPr>
          <w:rFonts w:ascii="Times New Roman" w:cs="Times New Roman" w:eastAsia="Times New Roman" w:hAnsi="Times New Roman"/>
          <w:b/>
          <w:bCs/>
          <w:i/>
          <w:iCs/>
          <w:sz w:val="20"/>
          <w:szCs w:val="20"/>
        </w:rPr>
        <w:t xml:space="preserve">4.1 O que o Resultado Significa — e o que não Significa</w:t>
      </w:r>
    </w:p>
    <w:p>
      <w:pPr>
        <w:spacing w:after="120" w:before="0" w:line="240" w:lineRule="auto"/>
        <w:ind/>
        <w:jc w:val="both"/>
      </w:pPr>
      <w:r>
        <w:rPr>
          <w:rFonts w:ascii="Times New Roman" w:cs="Times New Roman" w:eastAsia="Times New Roman" w:hAnsi="Times New Roman"/>
          <w:b w:val="false"/>
          <w:bCs w:val="false"/>
          <w:i w:val="false"/>
          <w:iCs w:val="false"/>
          <w:sz w:val="20"/>
          <w:szCs w:val="20"/>
        </w:rPr>
        <w:t xml:space="preserve">Rejeitamos H₀ com p &lt; 0,001 e tamanho de efeito grande (d = 0,75). Isso significa que, nas condições deste experimento, a revisão guiada por checklist foi superior à revisão ad hoc. Mas o que exatamente podemos concluir a partir disso?</w:t>
      </w:r>
    </w:p>
    <w:p>
      <w:pPr>
        <w:spacing w:after="120" w:before="0" w:line="240" w:lineRule="auto"/>
        <w:ind/>
        <w:jc w:val="both"/>
      </w:pPr>
      <w:r>
        <w:rPr>
          <w:rFonts w:ascii="Times New Roman" w:cs="Times New Roman" w:eastAsia="Times New Roman" w:hAnsi="Times New Roman"/>
          <w:b w:val="false"/>
          <w:bCs w:val="false"/>
          <w:i w:val="false"/>
          <w:iCs w:val="false"/>
          <w:sz w:val="20"/>
          <w:szCs w:val="20"/>
        </w:rPr>
        <w:t xml:space="preserve">Podemos concluir que, para revisores com o perfil desta amostra (pós-graduandos com experiência em Java), aplicando um checklist estruturado de 20 itens em artefatos de complexidade moderada (50–70 linhas, McCabe 4–7), em sessão de revisão individual de até 50 minutos, a taxa de detecção foi em média 16 pontos percentuais maior do que na revisão sem estrutura. Essa conclusão é ancorada nas condições específicas do experimento.</w:t>
      </w:r>
    </w:p>
    <w:p>
      <w:pPr>
        <w:spacing w:after="120" w:before="0" w:line="240" w:lineRule="auto"/>
        <w:ind/>
        <w:jc w:val="both"/>
      </w:pPr>
      <w:r>
        <w:rPr>
          <w:rFonts w:ascii="Times New Roman" w:cs="Times New Roman" w:eastAsia="Times New Roman" w:hAnsi="Times New Roman"/>
          <w:b w:val="false"/>
          <w:bCs w:val="false"/>
          <w:i w:val="false"/>
          <w:iCs w:val="false"/>
          <w:sz w:val="20"/>
          <w:szCs w:val="20"/>
        </w:rPr>
        <w:t xml:space="preserve">Não podemos concluir, a partir deste experimento isolado, que checklists são superiores em todos os contextos de revisão de código. A generalização requer cautela por pelo menos três razões: a amostra é composta de estudantes, não profissionais; os artefatos foram criados artificialmente com defeitos injetados, não refletem o espectro real de defeitos em produção; e o experimento foi conduzido em laboratório, onde fatores como pressão de tempo real, familiaridade com a base de código e dinâmicas sociais de equipe estavam ausentes.</w:t>
      </w:r>
    </w:p>
    <w:p>
      <w:pPr>
        <w:spacing w:after="80" w:before="160" w:line="240" w:lineRule="auto"/>
        <w:jc w:val="left"/>
      </w:pPr>
      <w:r>
        <w:rPr>
          <w:rFonts w:ascii="Times New Roman" w:cs="Times New Roman" w:eastAsia="Times New Roman" w:hAnsi="Times New Roman"/>
          <w:b/>
          <w:bCs/>
          <w:i/>
          <w:iCs/>
          <w:sz w:val="20"/>
          <w:szCs w:val="20"/>
        </w:rPr>
        <w:t xml:space="preserve">4.2 Por que o Tamanho do Efeito Importa tanto quanto o p-valor</w:t>
      </w:r>
    </w:p>
    <w:p>
      <w:pPr>
        <w:spacing w:after="120" w:before="0" w:line="240" w:lineRule="auto"/>
        <w:ind/>
        <w:jc w:val="both"/>
      </w:pPr>
      <w:r>
        <w:rPr>
          <w:rFonts w:ascii="Times New Roman" w:cs="Times New Roman" w:eastAsia="Times New Roman" w:hAnsi="Times New Roman"/>
          <w:b w:val="false"/>
          <w:bCs w:val="false"/>
          <w:i w:val="false"/>
          <w:iCs w:val="false"/>
          <w:sz w:val="20"/>
          <w:szCs w:val="20"/>
        </w:rPr>
        <w:t xml:space="preserve">Com n = 30 e um design pareado eficiente, nosso experimento tinha poder razoável para detectar até efeitos médios. O fato de termos observado d = 0,75 (efeito grande) sugere que a diferença não é apenas estatisticamente significativa, mas potencialmente relevante na prática. No entanto, a interpretação do tamanho do efeito deve ser contextualizada: uma diferença de 16 pontos percentuais em taxa de detecção pode ser muito importante se os defeitos não detectados forem críticos (ex.: vulnerabilidades de segurança) ou pouco relevante se os defeitos remanescentes forem de baixo impacto.</w:t>
      </w:r>
    </w:p>
    <w:p>
      <w:pPr>
        <w:spacing w:after="120" w:before="0" w:line="240" w:lineRule="auto"/>
        <w:ind/>
        <w:jc w:val="both"/>
      </w:pPr>
      <w:r>
        <w:rPr>
          <w:rFonts w:ascii="Times New Roman" w:cs="Times New Roman" w:eastAsia="Times New Roman" w:hAnsi="Times New Roman"/>
          <w:b w:val="false"/>
          <w:bCs w:val="false"/>
          <w:i w:val="false"/>
          <w:iCs w:val="false"/>
          <w:sz w:val="20"/>
          <w:szCs w:val="20"/>
        </w:rPr>
        <w:t xml:space="preserve">É importante notar que p-valor e tamanho de efeito medem coisas diferentes. O p-valor responde à pergunta: 'qual é a probabilidade de observar uma diferença tão grande quanto esta por acaso, se H₀ for verdadeira?' O tamanho de efeito responde: 'quão grande é a diferença observada em termos práticos?' Um estudo com n = 10.000 pode produzir p &lt; 0,001 para uma diferença de 0,1 pontos percentuais — estatisticamente significativa, mas praticamente irrelevante. O d de Cohen previne essa confusão.</w:t>
      </w:r>
    </w:p>
    <w:p>
      <w:pPr>
        <w:spacing w:after="80" w:before="160" w:line="240" w:lineRule="auto"/>
        <w:jc w:val="left"/>
      </w:pPr>
      <w:r>
        <w:rPr>
          <w:rFonts w:ascii="Times New Roman" w:cs="Times New Roman" w:eastAsia="Times New Roman" w:hAnsi="Times New Roman"/>
          <w:b/>
          <w:bCs/>
          <w:i/>
          <w:iCs/>
          <w:sz w:val="20"/>
          <w:szCs w:val="20"/>
        </w:rPr>
        <w:t xml:space="preserve">4.3 Limitações da Lógica Experimental em ES</w:t>
      </w:r>
    </w:p>
    <w:p>
      <w:pPr>
        <w:spacing w:after="120" w:before="0" w:line="240" w:lineRule="auto"/>
        <w:ind/>
        <w:jc w:val="both"/>
      </w:pPr>
      <w:r>
        <w:rPr>
          <w:rFonts w:ascii="Times New Roman" w:cs="Times New Roman" w:eastAsia="Times New Roman" w:hAnsi="Times New Roman"/>
          <w:b w:val="false"/>
          <w:bCs w:val="false"/>
          <w:i w:val="false"/>
          <w:iCs w:val="false"/>
          <w:sz w:val="20"/>
          <w:szCs w:val="20"/>
        </w:rPr>
        <w:t xml:space="preserve">O experimento controlado é o design com maior validade interna para estabelecer causalidade, mas em Engenharia de Software ele enfrenta tensões específicas. A aleatorização — condição necessária para o controle de confundidores — exige que os participantes sejam distribuídos a condições independentemente de seus contextos reais de trabalho. Isso frequentemente resulta em experimentos com estudantes ou em cenários artificiais que se afastam da prática industrial.</w:t>
      </w:r>
    </w:p>
    <w:p>
      <w:pPr>
        <w:spacing w:after="120" w:before="0" w:line="240" w:lineRule="auto"/>
        <w:ind/>
        <w:jc w:val="both"/>
      </w:pPr>
      <w:r>
        <w:rPr>
          <w:rFonts w:ascii="Times New Roman" w:cs="Times New Roman" w:eastAsia="Times New Roman" w:hAnsi="Times New Roman"/>
          <w:b w:val="false"/>
          <w:bCs w:val="false"/>
          <w:i w:val="false"/>
          <w:iCs w:val="false"/>
          <w:sz w:val="20"/>
          <w:szCs w:val="20"/>
        </w:rPr>
        <w:t xml:space="preserve">Essa tensão entre validade interna (controlamos bem o que aconteceu no experimento) e validade externa (o que aconteceu no experimento reflete o que aconteceria na prática) é estrutural ao método e não tem solução perfeita. A estratégia mais produtiva é a replicação: realizar o mesmo experimento com diferentes amostras (profissionais vs. estudantes), diferentes artefatos e diferentes contextos, e observar se o efeito persiste. Um único experimento, por mais bem conduzido que seja, produz evidência local, não universal.</w:t>
      </w:r>
    </w:p>
    <w:p>
      <w:pPr>
        <w:spacing w:after="120" w:before="240" w:line="240" w:lineRule="auto"/>
        <w:jc w:val="left"/>
      </w:pPr>
      <w:r>
        <w:rPr>
          <w:rFonts w:ascii="Times New Roman" w:cs="Times New Roman" w:eastAsia="Times New Roman" w:hAnsi="Times New Roman"/>
          <w:b/>
          <w:bCs/>
          <w:sz w:val="22"/>
          <w:szCs w:val="22"/>
        </w:rPr>
        <w:t xml:space="preserve">5. LIMITAÇÕES E AMEAÇAS À VALIDADE</w:t>
      </w:r>
    </w:p>
    <w:p>
      <w:pPr>
        <w:spacing w:after="120" w:before="0" w:line="240" w:lineRule="auto"/>
        <w:ind/>
        <w:jc w:val="both"/>
      </w:pPr>
      <w:r>
        <w:rPr>
          <w:rFonts w:ascii="Times New Roman" w:cs="Times New Roman" w:eastAsia="Times New Roman" w:hAnsi="Times New Roman"/>
          <w:b w:val="false"/>
          <w:bCs w:val="false"/>
          <w:i w:val="false"/>
          <w:iCs w:val="false"/>
          <w:sz w:val="20"/>
          <w:szCs w:val="20"/>
        </w:rPr>
        <w:t xml:space="preserve">Seguimos a taxonomia de Wohlin et al. (2012), que distingue quatro tipos de validade em experimentos de ES. Diferentemente do survey (que foca em validade de constructo e externa), o experimento tem ameaças específicas à validade interna e de conclusão.</w:t>
      </w:r>
    </w:p>
    <w:p>
      <w:pPr>
        <w:spacing w:after="80" w:before="160" w:line="240" w:lineRule="auto"/>
        <w:jc w:val="left"/>
      </w:pPr>
      <w:r>
        <w:rPr>
          <w:rFonts w:ascii="Times New Roman" w:cs="Times New Roman" w:eastAsia="Times New Roman" w:hAnsi="Times New Roman"/>
          <w:b/>
          <w:bCs/>
          <w:i/>
          <w:iCs/>
          <w:sz w:val="20"/>
          <w:szCs w:val="20"/>
        </w:rPr>
        <w:t xml:space="preserve">5.1 Validade de Conclusão</w:t>
      </w:r>
    </w:p>
    <w:p>
      <w:pPr>
        <w:spacing w:after="120" w:before="0" w:line="240" w:lineRule="auto"/>
        <w:ind/>
        <w:jc w:val="both"/>
      </w:pPr>
      <w:r>
        <w:rPr>
          <w:rFonts w:ascii="Times New Roman" w:cs="Times New Roman" w:eastAsia="Times New Roman" w:hAnsi="Times New Roman"/>
          <w:b w:val="false"/>
          <w:bCs w:val="false"/>
          <w:i w:val="false"/>
          <w:iCs w:val="false"/>
          <w:sz w:val="20"/>
          <w:szCs w:val="20"/>
        </w:rPr>
        <w:t xml:space="preserve">Refere-se à correção das inferências estatísticas. A principal ameaça é o tamanho amostral: n = 30 foi suficiente para detectar o efeito observado (d = 0,75), mas insuficiente para detectar efeitos pequenos (d &lt; 0,30) se eles existissem. Experimentos com poder insuficiente correm o risco de erro tipo II — não rejeitar H₀ quando ela é falsa. A análise de poder a priori mitigou essa ameaça para o efeito de interesse principal, mas análises secundárias (por categoria de defeito) não tinham poder adequado para detectar diferenças menores.</w:t>
      </w:r>
    </w:p>
    <w:p>
      <w:pPr>
        <w:spacing w:after="80" w:before="160" w:line="240" w:lineRule="auto"/>
        <w:jc w:val="left"/>
      </w:pPr>
      <w:r>
        <w:rPr>
          <w:rFonts w:ascii="Times New Roman" w:cs="Times New Roman" w:eastAsia="Times New Roman" w:hAnsi="Times New Roman"/>
          <w:b/>
          <w:bCs/>
          <w:i/>
          <w:iCs/>
          <w:sz w:val="20"/>
          <w:szCs w:val="20"/>
        </w:rPr>
        <w:t xml:space="preserve">5.2 Validade Interna</w:t>
      </w:r>
    </w:p>
    <w:p>
      <w:pPr>
        <w:spacing w:after="120" w:before="0" w:line="240" w:lineRule="auto"/>
        <w:ind/>
        <w:jc w:val="both"/>
      </w:pPr>
      <w:r>
        <w:rPr>
          <w:rFonts w:ascii="Times New Roman" w:cs="Times New Roman" w:eastAsia="Times New Roman" w:hAnsi="Times New Roman"/>
          <w:b w:val="false"/>
          <w:bCs w:val="false"/>
          <w:i w:val="false"/>
          <w:iCs w:val="false"/>
          <w:sz w:val="20"/>
          <w:szCs w:val="20"/>
        </w:rPr>
        <w:t xml:space="preserve">Refere-se à capacidade de atribuir com segurança o efeito observado à variável independente, não a fatores externos. As principais ameaças controladas foram: efeitos de ordem (mitigados por contrabalanceamento, verificado pela ANOVA mista); maturação (a sessão única elimina o risco de os participantes mudarem ao longo do tempo); e seleção (a aleatorização distribuiu características dos participantes entre as condições).</w:t>
      </w:r>
    </w:p>
    <w:p>
      <w:pPr>
        <w:spacing w:after="120" w:before="0" w:line="240" w:lineRule="auto"/>
        <w:ind/>
        <w:jc w:val="both"/>
      </w:pPr>
      <w:r>
        <w:rPr>
          <w:rFonts w:ascii="Times New Roman" w:cs="Times New Roman" w:eastAsia="Times New Roman" w:hAnsi="Times New Roman"/>
          <w:b w:val="false"/>
          <w:bCs w:val="false"/>
          <w:i w:val="false"/>
          <w:iCs w:val="false"/>
          <w:sz w:val="20"/>
          <w:szCs w:val="20"/>
        </w:rPr>
        <w:t xml:space="preserve">Uma ameaça residual é o efeito de demanda (demand characteristics): participantes conscientes de que o checklist é a condição 'tratamento' podem ter se esforçado mais nessa condição. Tentamos mitigar isso não informando qual técnica era esperada ser superior, mas não podemos eliminar completamente esse efeito.</w:t>
      </w:r>
    </w:p>
    <w:p>
      <w:pPr>
        <w:spacing w:after="80" w:before="160" w:line="240" w:lineRule="auto"/>
        <w:jc w:val="left"/>
      </w:pPr>
      <w:r>
        <w:rPr>
          <w:rFonts w:ascii="Times New Roman" w:cs="Times New Roman" w:eastAsia="Times New Roman" w:hAnsi="Times New Roman"/>
          <w:b/>
          <w:bCs/>
          <w:i/>
          <w:iCs/>
          <w:sz w:val="20"/>
          <w:szCs w:val="20"/>
        </w:rPr>
        <w:t xml:space="preserve">5.3 Validade de Constructo</w:t>
      </w:r>
    </w:p>
    <w:p>
      <w:pPr>
        <w:spacing w:after="120" w:before="0" w:line="240" w:lineRule="auto"/>
        <w:ind/>
        <w:jc w:val="both"/>
      </w:pPr>
      <w:r>
        <w:rPr>
          <w:rFonts w:ascii="Times New Roman" w:cs="Times New Roman" w:eastAsia="Times New Roman" w:hAnsi="Times New Roman"/>
          <w:b w:val="false"/>
          <w:bCs w:val="false"/>
          <w:i w:val="false"/>
          <w:iCs w:val="false"/>
          <w:sz w:val="20"/>
          <w:szCs w:val="20"/>
        </w:rPr>
        <w:t xml:space="preserve">Refere-se à adequação das medidas para capturar os constructos teóricos de interesse. 'Taxa de detecção de defeitos' foi operacionalizada como a proporção de defeitos injetados corretamente identificados em artefatos criados em laboratório. Essa operacionalização pode não capturar adequadamente a qualidade da revisão em código real, onde os defeitos não são conhecidos a priori, a severidade varia enormemente e o revisor tem familiaridade com o domínio.</w:t>
      </w:r>
    </w:p>
    <w:p>
      <w:pPr>
        <w:spacing w:after="80" w:before="160" w:line="240" w:lineRule="auto"/>
        <w:jc w:val="left"/>
      </w:pPr>
      <w:r>
        <w:rPr>
          <w:rFonts w:ascii="Times New Roman" w:cs="Times New Roman" w:eastAsia="Times New Roman" w:hAnsi="Times New Roman"/>
          <w:b/>
          <w:bCs/>
          <w:i/>
          <w:iCs/>
          <w:sz w:val="20"/>
          <w:szCs w:val="20"/>
        </w:rPr>
        <w:t xml:space="preserve">5.4 Validade Externa (Generalização)</w:t>
      </w:r>
    </w:p>
    <w:p>
      <w:pPr>
        <w:spacing w:after="120" w:before="0" w:line="240" w:lineRule="auto"/>
        <w:ind/>
        <w:jc w:val="both"/>
      </w:pPr>
      <w:r>
        <w:rPr>
          <w:rFonts w:ascii="Times New Roman" w:cs="Times New Roman" w:eastAsia="Times New Roman" w:hAnsi="Times New Roman"/>
          <w:b w:val="false"/>
          <w:bCs w:val="false"/>
          <w:i w:val="false"/>
          <w:iCs w:val="false"/>
          <w:sz w:val="20"/>
          <w:szCs w:val="20"/>
        </w:rPr>
        <w:t xml:space="preserve">É a ameaça mais relevante neste estudo. O uso de estudantes de pós-graduação em vez de profissionais é a limitação mais significativa: estudantes tendem a ter menor experiência com código legado complexo e com as pressões temporais de projetos reais. Estudos com profissionais poderiam produzir resultados diferentes — possivelmente com efeito menor, se profissionais experientes desenvolvem estratégias ad hoc que aproximam sua cobertura à do checklist, ou maior, se o checklist os ajuda a organizar conhecimento tácito que já possuem.</w:t>
      </w:r>
    </w:p>
    <w:p>
      <w:pPr>
        <w:spacing w:after="120" w:before="240" w:line="240" w:lineRule="auto"/>
        <w:jc w:val="left"/>
      </w:pPr>
      <w:r>
        <w:rPr>
          <w:rFonts w:ascii="Times New Roman" w:cs="Times New Roman" w:eastAsia="Times New Roman" w:hAnsi="Times New Roman"/>
          <w:b/>
          <w:bCs/>
          <w:sz w:val="22"/>
          <w:szCs w:val="22"/>
        </w:rPr>
        <w:t xml:space="preserve">6. CONCLUSÃO</w:t>
      </w:r>
    </w:p>
    <w:p>
      <w:pPr>
        <w:spacing w:after="120" w:before="0" w:line="240" w:lineRule="auto"/>
        <w:ind/>
        <w:jc w:val="both"/>
      </w:pPr>
      <w:r>
        <w:rPr>
          <w:rFonts w:ascii="Times New Roman" w:cs="Times New Roman" w:eastAsia="Times New Roman" w:hAnsi="Times New Roman"/>
          <w:b w:val="false"/>
          <w:bCs w:val="false"/>
          <w:i w:val="false"/>
          <w:iCs w:val="false"/>
          <w:sz w:val="20"/>
          <w:szCs w:val="20"/>
        </w:rPr>
        <w:t xml:space="preserve">Este experimento controlado within-subjects (n=30, contrabalanceado por Latin Square) forneceu evidência de que a revisão de código guiada por checklist produz taxa de detecção de defeitos significativamente superior à revisão ad hoc em artefatos Java de complexidade moderada (t(29) = 4,12, p &lt; 0,001, d = 0,75). O efeito foi consistente entre os participantes e não foi explicado por ordem de aplicação das técnicas. O tempo de revisão não diferiu significativamente entre as condições, sugerindo que o ganho em detecção não tem custo temporal.</w:t>
      </w:r>
    </w:p>
    <w:p>
      <w:pPr>
        <w:spacing w:after="120" w:before="0" w:line="240" w:lineRule="auto"/>
        <w:ind/>
        <w:jc w:val="both"/>
      </w:pPr>
      <w:r>
        <w:rPr>
          <w:rFonts w:ascii="Times New Roman" w:cs="Times New Roman" w:eastAsia="Times New Roman" w:hAnsi="Times New Roman"/>
          <w:b w:val="false"/>
          <w:bCs w:val="false"/>
          <w:i w:val="false"/>
          <w:iCs w:val="false"/>
          <w:sz w:val="20"/>
          <w:szCs w:val="20"/>
        </w:rPr>
        <w:t xml:space="preserve">A análise por categoria revelou que o benefício do checklist é mais pronunciado para defeitos de tratamento de exceção e lógicos — categorias mais propensas a omissão sem lembrete estruturado. Esses resultados têm implicações práticas para equipes que buscam melhorar a eficácia de revisões sem aumentar o tempo investido. As limitações de validade externa, contudo, recomendam cautela na generalização: replicações com profissionais em projetos reais são necessárias para consolidar a evidência.</w:t>
      </w:r>
    </w:p>
    <w:p>
      <w:pPr>
        <w:pBdr>
          <w:bottom w:val="single" w:color="333333" w:sz="6" w:space="1"/>
        </w:pBdr>
        <w:spacing w:after="120" w:before="120"/>
      </w:pPr>
      <w:r>
        <w:t xml:space="preserve"/>
      </w:r>
    </w:p>
    <w:p>
      <w:pPr>
        <w:spacing w:after="120" w:before="120"/>
        <w:jc w:val="left"/>
      </w:pPr>
      <w:r>
        <w:rPr>
          <w:rFonts w:ascii="Times New Roman" w:cs="Times New Roman" w:eastAsia="Times New Roman" w:hAnsi="Times New Roman"/>
          <w:b/>
          <w:bCs/>
          <w:sz w:val="22"/>
          <w:szCs w:val="22"/>
        </w:rPr>
        <w:t xml:space="preserve">Perguntas para Reflexão sobre o Método</w:t>
      </w:r>
    </w:p>
    <w:p>
      <w:pPr>
        <w:spacing w:after="120" w:before="0" w:line="240" w:lineRule="auto"/>
        <w:ind/>
        <w:jc w:val="both"/>
      </w:pPr>
      <w:r>
        <w:rPr>
          <w:rFonts w:ascii="Times New Roman" w:cs="Times New Roman" w:eastAsia="Times New Roman" w:hAnsi="Times New Roman"/>
          <w:b w:val="false"/>
          <w:bCs w:val="false"/>
          <w:i/>
          <w:iCs/>
          <w:sz w:val="18"/>
          <w:szCs w:val="18"/>
        </w:rPr>
        <w:t xml:space="preserve">As perguntas a seguir têm como objetivo apoiar a discussão em sala sobre as escolhas e características do método experimento controlado conforme exemplificado neste artigo.</w:t>
      </w:r>
    </w:p>
    <w:p>
      <w:pPr>
        <w:spacing w:after="0" w:before="60"/>
      </w:pPr>
      <w:r>
        <w:t xml:space="preserve"/>
      </w:r>
    </w:p>
    <w:p>
      <w:pPr>
        <w:pStyle w:val="ListParagraph"/>
        <w:numPr>
          <w:ilvl w:val="0"/>
          <w:numId w:val="2"/>
        </w:numPr>
        <w:spacing w:after="60" w:before="60" w:line="240" w:lineRule="auto"/>
        <w:jc w:val="both"/>
      </w:pPr>
      <w:r>
        <w:rPr>
          <w:rFonts w:ascii="Times New Roman" w:cs="Times New Roman" w:eastAsia="Times New Roman" w:hAnsi="Times New Roman"/>
          <w:sz w:val="20"/>
          <w:szCs w:val="20"/>
        </w:rPr>
        <w:t xml:space="preserve">O artigo explica que este é um experimento controlado porque os participantes foram aleatoriamente designados aos tratamentos. Pense em um estudo que investigasse a mesma pergunta — o efeito de checklists — mas comparando duas equipes de desenvolvimento já existentes. Por que isso seria um quasi-experimento? Que tipo de problema essa diferença cria na interpretação dos resultados?</w:t>
      </w:r>
    </w:p>
    <w:p>
      <w:pPr>
        <w:pStyle w:val="ListParagraph"/>
        <w:numPr>
          <w:ilvl w:val="0"/>
          <w:numId w:val="2"/>
        </w:numPr>
        <w:spacing w:after="60" w:before="60" w:line="240" w:lineRule="auto"/>
        <w:jc w:val="both"/>
      </w:pPr>
      <w:r>
        <w:rPr>
          <w:rFonts w:ascii="Times New Roman" w:cs="Times New Roman" w:eastAsia="Times New Roman" w:hAnsi="Times New Roman"/>
          <w:sz w:val="20"/>
          <w:szCs w:val="20"/>
        </w:rPr>
        <w:t xml:space="preserve">O design within-subjects faz cada participante usar as duas técnicas. Quais são as vantagens disso? O artigo menciona um risco chamado 'efeito de ordem'. Você consegue pensar em uma situação em que esse risco seria muito difícil de controlar, mesmo com contrabalanceamento?</w:t>
      </w:r>
    </w:p>
    <w:p>
      <w:pPr>
        <w:pStyle w:val="ListParagraph"/>
        <w:numPr>
          <w:ilvl w:val="0"/>
          <w:numId w:val="2"/>
        </w:numPr>
        <w:spacing w:after="60" w:before="60" w:line="240" w:lineRule="auto"/>
        <w:jc w:val="both"/>
      </w:pPr>
      <w:r>
        <w:rPr>
          <w:rFonts w:ascii="Times New Roman" w:cs="Times New Roman" w:eastAsia="Times New Roman" w:hAnsi="Times New Roman"/>
          <w:sz w:val="20"/>
          <w:szCs w:val="20"/>
        </w:rPr>
        <w:t xml:space="preserve">Os pesquisadores só testaram os participantes com estudantes de pós-graduação, não com profissionais de mercado. O resultado teria sido diferente com profissionais? Em que direção você esperaria a diferença, e por quê?</w:t>
      </w:r>
    </w:p>
    <w:p>
      <w:pPr>
        <w:pStyle w:val="ListParagraph"/>
        <w:numPr>
          <w:ilvl w:val="0"/>
          <w:numId w:val="2"/>
        </w:numPr>
        <w:spacing w:after="60" w:before="60" w:line="240" w:lineRule="auto"/>
        <w:jc w:val="both"/>
      </w:pPr>
      <w:r>
        <w:rPr>
          <w:rFonts w:ascii="Times New Roman" w:cs="Times New Roman" w:eastAsia="Times New Roman" w:hAnsi="Times New Roman"/>
          <w:sz w:val="20"/>
          <w:szCs w:val="20"/>
        </w:rPr>
        <w:t xml:space="preserve">O artigo mostra que o checklist ajudou mais na detecção de defeitos de tratamento de exceção (+28 p.p.) do que de segurança (+10 p.p.). Os autores chamam isso de 'especulativo'. O que seria necessário para transformar essa interpretação em uma afirmação sustentada por evidência?</w:t>
      </w:r>
    </w:p>
    <w:p>
      <w:pPr>
        <w:pStyle w:val="ListParagraph"/>
        <w:numPr>
          <w:ilvl w:val="0"/>
          <w:numId w:val="2"/>
        </w:numPr>
        <w:spacing w:after="60" w:before="60" w:line="240" w:lineRule="auto"/>
        <w:jc w:val="both"/>
      </w:pPr>
      <w:r>
        <w:rPr>
          <w:rFonts w:ascii="Times New Roman" w:cs="Times New Roman" w:eastAsia="Times New Roman" w:hAnsi="Times New Roman"/>
          <w:sz w:val="20"/>
          <w:szCs w:val="20"/>
        </w:rPr>
        <w:t xml:space="preserve">O experimento encontrou d = 0,75 (efeito grande) e p &lt; 0,001. Imagine que outro experimento, com 5.000 participantes, encontrasse p &lt; 0,001 mas d = 0,05 (efeito minúsculo). Qual desses resultados seria mais útil para uma equipe de desenvolvimento decidir se adota checklists? Por quê?</w:t>
      </w:r>
    </w:p>
    <w:p>
      <w:pPr>
        <w:pStyle w:val="ListParagraph"/>
        <w:numPr>
          <w:ilvl w:val="0"/>
          <w:numId w:val="2"/>
        </w:numPr>
        <w:spacing w:after="60" w:before="60" w:line="240" w:lineRule="auto"/>
        <w:jc w:val="both"/>
      </w:pPr>
      <w:r>
        <w:rPr>
          <w:rFonts w:ascii="Times New Roman" w:cs="Times New Roman" w:eastAsia="Times New Roman" w:hAnsi="Times New Roman"/>
          <w:sz w:val="20"/>
          <w:szCs w:val="20"/>
        </w:rPr>
        <w:t xml:space="preserve">Compare o que este experimento pode responder com o que o survey do artigo anterior podia responder. Um diria que 'checklists causam mais detecção'; o outro diria que 'equipes que usam checklist reportam mais detecção'. Qual é a diferença prática entre essas duas afirmações?</w:t>
      </w:r>
    </w:p>
    <w:p>
      <w:pPr>
        <w:pStyle w:val="ListParagraph"/>
        <w:numPr>
          <w:ilvl w:val="0"/>
          <w:numId w:val="2"/>
        </w:numPr>
        <w:spacing w:after="60" w:before="60" w:line="240" w:lineRule="auto"/>
        <w:jc w:val="both"/>
      </w:pPr>
      <w:r>
        <w:rPr>
          <w:rFonts w:ascii="Times New Roman" w:cs="Times New Roman" w:eastAsia="Times New Roman" w:hAnsi="Times New Roman"/>
          <w:sz w:val="20"/>
          <w:szCs w:val="20"/>
        </w:rPr>
        <w:t xml:space="preserve">O artigo admite que defeitos foram 'injetados deliberadamente' nos artefatos. Isso significa que os pesquisadores sabiam exatamente quantos e quais defeitos existiam. Como isso difere de uma revisão de código real? Que consequências isso tem para a validade do experimento?</w:t>
      </w:r>
    </w:p>
    <w:p>
      <w:pPr>
        <w:pStyle w:val="ListParagraph"/>
        <w:numPr>
          <w:ilvl w:val="0"/>
          <w:numId w:val="2"/>
        </w:numPr>
        <w:spacing w:after="60" w:before="60" w:line="240" w:lineRule="auto"/>
        <w:jc w:val="both"/>
      </w:pPr>
      <w:r>
        <w:rPr>
          <w:rFonts w:ascii="Times New Roman" w:cs="Times New Roman" w:eastAsia="Times New Roman" w:hAnsi="Times New Roman"/>
          <w:sz w:val="20"/>
          <w:szCs w:val="20"/>
        </w:rPr>
        <w:t xml:space="preserve">Ao final, os autores recomendam 'replicações com profissionais em projetos reais'. Por que um único experimento bem conduzido não é suficiente para recomendar a adoção universal de checklists?</w:t>
      </w:r>
    </w:p>
    <w:p>
      <w:pPr>
        <w:pBdr>
          <w:bottom w:val="single" w:color="333333" w:sz="6" w:space="1"/>
        </w:pBdr>
        <w:spacing w:after="120" w:before="120"/>
      </w:pPr>
      <w:r>
        <w:t xml:space="preserve"/>
      </w:r>
    </w:p>
    <w:p>
      <w:pPr>
        <w:spacing w:after="80" w:before="120"/>
        <w:jc w:val="left"/>
      </w:pPr>
      <w:r>
        <w:rPr>
          <w:rFonts w:ascii="Times New Roman" w:cs="Times New Roman" w:eastAsia="Times New Roman" w:hAnsi="Times New Roman"/>
          <w:b/>
          <w:bCs/>
          <w:sz w:val="22"/>
          <w:szCs w:val="22"/>
        </w:rPr>
        <w:t xml:space="preserve">Anexo A – Guia de Referência do Método: Experimento Controlado</w:t>
      </w:r>
    </w:p>
    <w:p>
      <w:pPr>
        <w:spacing w:after="120" w:before="0" w:line="240" w:lineRule="auto"/>
        <w:ind/>
        <w:jc w:val="both"/>
      </w:pPr>
      <w:r>
        <w:rPr>
          <w:rFonts w:ascii="Times New Roman" w:cs="Times New Roman" w:eastAsia="Times New Roman" w:hAnsi="Times New Roman"/>
          <w:b w:val="false"/>
          <w:bCs w:val="false"/>
          <w:i/>
          <w:iCs/>
          <w:sz w:val="18"/>
          <w:szCs w:val="18"/>
        </w:rPr>
        <w:t xml:space="preserve">Este anexo resume as características essenciais do método experimento controlado em Engenharia de Software, baseado no ACM SIGSOFT Empirical Standard for Experiments (Ralph et al., 2020) e em Wohlin et al. (2012).</w:t>
      </w:r>
    </w:p>
    <w:p>
      <w:pPr>
        <w:spacing w:after="0" w:before="60"/>
      </w:pPr>
      <w:r>
        <w:t xml:space="preserve"/>
      </w:r>
    </w:p>
    <w:p>
      <w:pPr>
        <w:spacing w:after="40" w:before="80"/>
      </w:pPr>
      <w:r>
        <w:rPr>
          <w:rFonts w:ascii="Times New Roman" w:cs="Times New Roman" w:eastAsia="Times New Roman" w:hAnsi="Times New Roman"/>
          <w:b/>
          <w:bCs/>
          <w:sz w:val="20"/>
          <w:szCs w:val="20"/>
        </w:rPr>
        <w:t xml:space="preserve">O que é o Experimento Controlado?</w:t>
      </w:r>
    </w:p>
    <w:p>
      <w:pPr>
        <w:spacing w:after="120" w:before="0" w:line="240" w:lineRule="auto"/>
        <w:ind/>
        <w:jc w:val="both"/>
      </w:pPr>
      <w:r>
        <w:rPr>
          <w:rFonts w:ascii="Times New Roman" w:cs="Times New Roman" w:eastAsia="Times New Roman" w:hAnsi="Times New Roman"/>
          <w:b w:val="false"/>
          <w:bCs w:val="false"/>
          <w:i w:val="false"/>
          <w:iCs w:val="false"/>
          <w:sz w:val="18"/>
          <w:szCs w:val="18"/>
        </w:rPr>
        <w:t xml:space="preserve">Um experimento controlado é uma investigação empírica na qual o pesquisador manipula deliberadamente uma ou mais variáveis independentes, mantém outras variáveis constantes (controla) e mede o efeito sobre variáveis dependentes. A aleatorização na designação dos participantes aos tratamentos é a característica que distingue o experimento controlado do quasi-experimento.</w:t>
      </w:r>
    </w:p>
    <w:p>
      <w:pPr>
        <w:spacing w:after="0" w:before="40"/>
      </w:pPr>
      <w:r>
        <w:t xml:space="preserve"/>
      </w:r>
    </w:p>
    <w:p>
      <w:pPr>
        <w:spacing w:after="40" w:before="80"/>
      </w:pPr>
      <w:r>
        <w:rPr>
          <w:rFonts w:ascii="Times New Roman" w:cs="Times New Roman" w:eastAsia="Times New Roman" w:hAnsi="Times New Roman"/>
          <w:b/>
          <w:bCs/>
          <w:sz w:val="20"/>
          <w:szCs w:val="20"/>
        </w:rPr>
        <w:t xml:space="preserve">Experimento Controlado vs. Quasi-Experimento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084"/>
        <w:gridCol w:w="2993"/>
        <w:gridCol w:w="2993"/>
      </w:tblGrid>
      <w:tr>
        <w:tc>
          <w:tcPr>
            <w:tcW w:type="dxa" w:w="3084"/>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bCs/>
                <w:sz w:val="18"/>
                <w:szCs w:val="18"/>
              </w:rPr>
              <w:t xml:space="preserve">Critério</w:t>
            </w:r>
          </w:p>
        </w:tc>
        <w:tc>
          <w:tcPr>
            <w:tcW w:type="dxa" w:w="2993"/>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bCs/>
                <w:sz w:val="18"/>
                <w:szCs w:val="18"/>
              </w:rPr>
              <w:t xml:space="preserve">Experimento Controlado</w:t>
            </w:r>
          </w:p>
        </w:tc>
        <w:tc>
          <w:tcPr>
            <w:tcW w:type="dxa" w:w="2993"/>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bCs/>
                <w:sz w:val="18"/>
                <w:szCs w:val="18"/>
              </w:rPr>
              <w:t xml:space="preserve">Quasi-Experimento</w:t>
            </w:r>
          </w:p>
        </w:tc>
      </w:tr>
      <w:tr>
        <w:tc>
          <w:tcPr>
            <w:tcW w:type="dxa" w:w="3084"/>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Aleatorização</w:t>
            </w:r>
          </w:p>
        </w:tc>
        <w:tc>
          <w:tcPr>
            <w:tcW w:type="dxa" w:w="2993"/>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Sim — pesquisador designa aleatoriamente</w:t>
            </w:r>
          </w:p>
        </w:tc>
        <w:tc>
          <w:tcPr>
            <w:tcW w:type="dxa" w:w="2993"/>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Não — grupos pré-existentes ou auto-seleção</w:t>
            </w:r>
          </w:p>
        </w:tc>
      </w:tr>
      <w:tr>
        <w:tc>
          <w:tcPr>
            <w:tcW w:type="dxa" w:w="3084"/>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Controle de confundidores</w:t>
            </w:r>
          </w:p>
        </w:tc>
        <w:tc>
          <w:tcPr>
            <w:tcW w:type="dxa" w:w="2993"/>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Alto (em expectativa)</w:t>
            </w:r>
          </w:p>
        </w:tc>
        <w:tc>
          <w:tcPr>
            <w:tcW w:type="dxa" w:w="2993"/>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Parcial — variáveis não observadas podem confundir</w:t>
            </w:r>
          </w:p>
        </w:tc>
      </w:tr>
      <w:tr>
        <w:tc>
          <w:tcPr>
            <w:tcW w:type="dxa" w:w="3084"/>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Inferência causal</w:t>
            </w:r>
          </w:p>
        </w:tc>
        <w:tc>
          <w:tcPr>
            <w:tcW w:type="dxa" w:w="2993"/>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Mais forte</w:t>
            </w:r>
          </w:p>
        </w:tc>
        <w:tc>
          <w:tcPr>
            <w:tcW w:type="dxa" w:w="2993"/>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Mais fraca — requer análise de sensibilidade</w:t>
            </w:r>
          </w:p>
        </w:tc>
      </w:tr>
      <w:tr>
        <w:tc>
          <w:tcPr>
            <w:tcW w:type="dxa" w:w="3084"/>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Viabilidade prática</w:t>
            </w:r>
          </w:p>
        </w:tc>
        <w:tc>
          <w:tcPr>
            <w:tcW w:type="dxa" w:w="2993"/>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Menor — exige recrutamento e controle</w:t>
            </w:r>
          </w:p>
        </w:tc>
        <w:tc>
          <w:tcPr>
            <w:tcW w:type="dxa" w:w="2993"/>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Maior — usa contextos existentes</w:t>
            </w:r>
          </w:p>
        </w:tc>
      </w:tr>
      <w:tr>
        <w:tc>
          <w:tcPr>
            <w:tcW w:type="dxa" w:w="3084"/>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Exemplo em ES</w:t>
            </w:r>
          </w:p>
        </w:tc>
        <w:tc>
          <w:tcPr>
            <w:tcW w:type="dxa" w:w="2993"/>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Estudo com participantes recrutados e aleatorizados para duas técnicas</w:t>
            </w:r>
          </w:p>
        </w:tc>
        <w:tc>
          <w:tcPr>
            <w:tcW w:type="dxa" w:w="2993"/>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Comparar duas turmas que já usam técnicas diferentes</w:t>
            </w:r>
          </w:p>
        </w:tc>
      </w:tr>
    </w:tbl>
    <w:p>
      <w:pPr>
        <w:spacing w:after="0" w:before="80"/>
      </w:pPr>
      <w:r>
        <w:t xml:space="preserve"/>
      </w:r>
    </w:p>
    <w:p>
      <w:pPr>
        <w:spacing w:after="40" w:before="80"/>
      </w:pPr>
      <w:r>
        <w:rPr>
          <w:rFonts w:ascii="Times New Roman" w:cs="Times New Roman" w:eastAsia="Times New Roman" w:hAnsi="Times New Roman"/>
          <w:b/>
          <w:bCs/>
          <w:sz w:val="20"/>
          <w:szCs w:val="20"/>
        </w:rPr>
        <w:t xml:space="preserve">Designs Comuns em Experimentos de ES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68"/>
        <w:gridCol w:w="3628"/>
        <w:gridCol w:w="3175"/>
      </w:tblGrid>
      <w:tr>
        <w:tc>
          <w:tcPr>
            <w:tcW w:type="dxa" w:w="2268"/>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bCs/>
                <w:sz w:val="18"/>
                <w:szCs w:val="18"/>
              </w:rPr>
              <w:t xml:space="preserve">Design</w:t>
            </w:r>
          </w:p>
        </w:tc>
        <w:tc>
          <w:tcPr>
            <w:tcW w:type="dxa" w:w="3628"/>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bCs/>
                <w:sz w:val="18"/>
                <w:szCs w:val="18"/>
              </w:rPr>
              <w:t xml:space="preserve">Descrição</w:t>
            </w:r>
          </w:p>
        </w:tc>
        <w:tc>
          <w:tcPr>
            <w:tcW w:type="dxa" w:w="3175"/>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bCs/>
                <w:sz w:val="18"/>
                <w:szCs w:val="18"/>
              </w:rPr>
              <w:t xml:space="preserve">Quando usar</w:t>
            </w:r>
          </w:p>
        </w:tc>
      </w:tr>
      <w:tr>
        <w:tc>
          <w:tcPr>
            <w:tcW w:type="dxa" w:w="2268"/>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Between-subjects</w:t>
            </w:r>
          </w:p>
        </w:tc>
        <w:tc>
          <w:tcPr>
            <w:tcW w:type="dxa" w:w="3628"/>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Cada participante recebe apenas um tratamento</w:t>
            </w:r>
          </w:p>
        </w:tc>
        <w:tc>
          <w:tcPr>
            <w:tcW w:type="dxa" w:w="3175"/>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Quando o aprendizado entre tratamentos é inevitável</w:t>
            </w:r>
          </w:p>
        </w:tc>
      </w:tr>
      <w:tr>
        <w:tc>
          <w:tcPr>
            <w:tcW w:type="dxa" w:w="2268"/>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Within-subjects</w:t>
            </w:r>
          </w:p>
        </w:tc>
        <w:tc>
          <w:tcPr>
            <w:tcW w:type="dxa" w:w="3628"/>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Cada participante recebe todos os tratamentos</w:t>
            </w:r>
          </w:p>
        </w:tc>
        <w:tc>
          <w:tcPr>
            <w:tcW w:type="dxa" w:w="3175"/>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Quando variância entre participantes é alta e N é limitado</w:t>
            </w:r>
          </w:p>
        </w:tc>
      </w:tr>
      <w:tr>
        <w:tc>
          <w:tcPr>
            <w:tcW w:type="dxa" w:w="2268"/>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Fatorial</w:t>
            </w:r>
          </w:p>
        </w:tc>
        <w:tc>
          <w:tcPr>
            <w:tcW w:type="dxa" w:w="3628"/>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Múltiplas VIs manipuladas simultaneamente</w:t>
            </w:r>
          </w:p>
        </w:tc>
        <w:tc>
          <w:tcPr>
            <w:tcW w:type="dxa" w:w="3175"/>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Quando se quer investigar interações entre fatores</w:t>
            </w:r>
          </w:p>
        </w:tc>
      </w:tr>
      <w:tr>
        <w:tc>
          <w:tcPr>
            <w:tcW w:type="dxa" w:w="2268"/>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Latin Square</w:t>
            </w:r>
          </w:p>
        </w:tc>
        <w:tc>
          <w:tcPr>
            <w:tcW w:type="dxa" w:w="3628"/>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Contrabalanceamento sistemático de ordem</w:t>
            </w:r>
          </w:p>
        </w:tc>
        <w:tc>
          <w:tcPr>
            <w:tcW w:type="dxa" w:w="3175"/>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Para controlar efeitos de ordem em within-subjects</w:t>
            </w:r>
          </w:p>
        </w:tc>
      </w:tr>
    </w:tbl>
    <w:p>
      <w:pPr>
        <w:spacing w:after="0" w:before="80"/>
      </w:pPr>
      <w:r>
        <w:t xml:space="preserve"/>
      </w:r>
    </w:p>
    <w:p>
      <w:pPr>
        <w:spacing w:after="40" w:before="80"/>
      </w:pPr>
      <w:r>
        <w:rPr>
          <w:rFonts w:ascii="Times New Roman" w:cs="Times New Roman" w:eastAsia="Times New Roman" w:hAnsi="Times New Roman"/>
          <w:b/>
          <w:bCs/>
          <w:sz w:val="20"/>
          <w:szCs w:val="20"/>
        </w:rPr>
        <w:t xml:space="preserve">Quando Usar e Quando Não Usar o Experimento Controlado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bCs/>
                <w:sz w:val="18"/>
                <w:szCs w:val="18"/>
              </w:rPr>
              <w:t xml:space="preserve">USE o Experimento quando...</w:t>
            </w:r>
          </w:p>
        </w:tc>
        <w:tc>
          <w:tcPr>
            <w:tcW w:type="dxa" w:w="4536"/>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bCs/>
                <w:sz w:val="18"/>
                <w:szCs w:val="18"/>
              </w:rPr>
              <w:t xml:space="preserve">NÃO USE o Experimento quando...</w:t>
            </w:r>
          </w:p>
        </w:tc>
      </w:tr>
      <w:tr>
        <w:tc>
          <w:tcPr>
            <w:tcW w:type="dxa" w:w="453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A pergunta é de causalidade: 'X causa Y?'</w:t>
            </w:r>
          </w:p>
        </w:tc>
        <w:tc>
          <w:tcPr>
            <w:tcW w:type="dxa" w:w="453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A pergunta é descritiva: 'o que existe?' (use survey)</w:t>
            </w:r>
          </w:p>
        </w:tc>
      </w:tr>
      <w:tr>
        <w:tc>
          <w:tcPr>
            <w:tcW w:type="dxa" w:w="453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É possível manipular a variável independente</w:t>
            </w:r>
          </w:p>
        </w:tc>
        <w:tc>
          <w:tcPr>
            <w:tcW w:type="dxa" w:w="453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A VI não pode ser manipulada eticamente ou praticamente</w:t>
            </w:r>
          </w:p>
        </w:tc>
      </w:tr>
      <w:tr>
        <w:tc>
          <w:tcPr>
            <w:tcW w:type="dxa" w:w="453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É possível recrutar e aleatorizar participantes</w:t>
            </w:r>
          </w:p>
        </w:tc>
        <w:tc>
          <w:tcPr>
            <w:tcW w:type="dxa" w:w="453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Os grupos já existem e não podem ser aleatorizados (use quasi-experimento)</w:t>
            </w:r>
          </w:p>
        </w:tc>
      </w:tr>
      <w:tr>
        <w:tc>
          <w:tcPr>
            <w:tcW w:type="dxa" w:w="453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O fenômeno pode ser reproduzido em condições controladas</w:t>
            </w:r>
          </w:p>
        </w:tc>
        <w:tc>
          <w:tcPr>
            <w:tcW w:type="dxa" w:w="453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O contexto é inseparável do fenômeno (use estudo de caso ou etnografia)</w:t>
            </w:r>
          </w:p>
        </w:tc>
      </w:tr>
      <w:tr>
        <w:tc>
          <w:tcPr>
            <w:tcW w:type="dxa" w:w="453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Existe teoria suficiente para especificar hipóteses a priori</w:t>
            </w:r>
          </w:p>
        </w:tc>
        <w:tc>
          <w:tcPr>
            <w:tcW w:type="dxa" w:w="453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O fenômeno é muito pouco compreendido para hipóteses (use exploratório)</w:t>
            </w:r>
          </w:p>
        </w:tc>
      </w:tr>
    </w:tbl>
    <w:p>
      <w:pPr>
        <w:spacing w:after="0" w:before="80"/>
      </w:pPr>
      <w:r>
        <w:t xml:space="preserve"/>
      </w:r>
    </w:p>
    <w:p>
      <w:pPr>
        <w:spacing w:after="40" w:before="80"/>
      </w:pPr>
      <w:r>
        <w:rPr>
          <w:rFonts w:ascii="Times New Roman" w:cs="Times New Roman" w:eastAsia="Times New Roman" w:hAnsi="Times New Roman"/>
          <w:b/>
          <w:bCs/>
          <w:sz w:val="20"/>
          <w:szCs w:val="20"/>
        </w:rPr>
        <w:t xml:space="preserve">Antipadrões Comuns em Experimentos de ES</w:t>
      </w:r>
    </w:p>
    <w:p>
      <w:pPr>
        <w:pStyle w:val="ListParagraph"/>
        <w:numPr>
          <w:ilvl w:val="0"/>
          <w:numId w:val="3"/>
        </w:numPr>
        <w:spacing w:after="30" w:before="30" w:line="240" w:lineRule="auto"/>
        <w:jc w:val="both"/>
      </w:pPr>
      <w:r>
        <w:rPr>
          <w:rFonts w:ascii="Times New Roman" w:cs="Times New Roman" w:eastAsia="Times New Roman" w:hAnsi="Times New Roman"/>
          <w:sz w:val="18"/>
          <w:szCs w:val="18"/>
        </w:rPr>
        <w:t xml:space="preserve">Designar participantes a tratamentos sem aleatorização e chamar o estudo de 'experimento controlado' (é quasi-experimento)</w:t>
      </w:r>
    </w:p>
    <w:p>
      <w:pPr>
        <w:pStyle w:val="ListParagraph"/>
        <w:numPr>
          <w:ilvl w:val="0"/>
          <w:numId w:val="3"/>
        </w:numPr>
        <w:spacing w:after="30" w:before="30" w:line="240" w:lineRule="auto"/>
        <w:jc w:val="both"/>
      </w:pPr>
      <w:r>
        <w:rPr>
          <w:rFonts w:ascii="Times New Roman" w:cs="Times New Roman" w:eastAsia="Times New Roman" w:hAnsi="Times New Roman"/>
          <w:sz w:val="18"/>
          <w:szCs w:val="18"/>
        </w:rPr>
        <w:t xml:space="preserve">Não realizar análise de poder a priori — o experimento pode ser subdimensionado para detectar o efeito de interesse</w:t>
      </w:r>
    </w:p>
    <w:p>
      <w:pPr>
        <w:pStyle w:val="ListParagraph"/>
        <w:numPr>
          <w:ilvl w:val="0"/>
          <w:numId w:val="3"/>
        </w:numPr>
        <w:spacing w:after="30" w:before="30" w:line="240" w:lineRule="auto"/>
        <w:jc w:val="both"/>
      </w:pPr>
      <w:r>
        <w:rPr>
          <w:rFonts w:ascii="Times New Roman" w:cs="Times New Roman" w:eastAsia="Times New Roman" w:hAnsi="Times New Roman"/>
          <w:sz w:val="18"/>
          <w:szCs w:val="18"/>
        </w:rPr>
        <w:t xml:space="preserve">Reportar apenas p-valor sem tamanho de efeito — significância estatística não implica relevância prática</w:t>
      </w:r>
    </w:p>
    <w:p>
      <w:pPr>
        <w:pStyle w:val="ListParagraph"/>
        <w:numPr>
          <w:ilvl w:val="0"/>
          <w:numId w:val="3"/>
        </w:numPr>
        <w:spacing w:after="30" w:before="30" w:line="240" w:lineRule="auto"/>
        <w:jc w:val="both"/>
      </w:pPr>
      <w:r>
        <w:rPr>
          <w:rFonts w:ascii="Times New Roman" w:cs="Times New Roman" w:eastAsia="Times New Roman" w:hAnsi="Times New Roman"/>
          <w:sz w:val="18"/>
          <w:szCs w:val="18"/>
        </w:rPr>
        <w:t xml:space="preserve">Não verificar os pressupostos dos testes estatísticos antes de aplicá-los</w:t>
      </w:r>
    </w:p>
    <w:p>
      <w:pPr>
        <w:pStyle w:val="ListParagraph"/>
        <w:numPr>
          <w:ilvl w:val="0"/>
          <w:numId w:val="3"/>
        </w:numPr>
        <w:spacing w:after="30" w:before="30" w:line="240" w:lineRule="auto"/>
        <w:jc w:val="both"/>
      </w:pPr>
      <w:r>
        <w:rPr>
          <w:rFonts w:ascii="Times New Roman" w:cs="Times New Roman" w:eastAsia="Times New Roman" w:hAnsi="Times New Roman"/>
          <w:sz w:val="18"/>
          <w:szCs w:val="18"/>
        </w:rPr>
        <w:t xml:space="preserve">HARKing (Hypothesizing After Results are Known): formular hipóteses após ver os dados e apresentá-las como se fossem a priori</w:t>
      </w:r>
    </w:p>
    <w:p>
      <w:pPr>
        <w:pStyle w:val="ListParagraph"/>
        <w:numPr>
          <w:ilvl w:val="0"/>
          <w:numId w:val="3"/>
        </w:numPr>
        <w:spacing w:after="30" w:before="30" w:line="240" w:lineRule="auto"/>
        <w:jc w:val="both"/>
      </w:pPr>
      <w:r>
        <w:rPr>
          <w:rFonts w:ascii="Times New Roman" w:cs="Times New Roman" w:eastAsia="Times New Roman" w:hAnsi="Times New Roman"/>
          <w:sz w:val="18"/>
          <w:szCs w:val="18"/>
        </w:rPr>
        <w:t xml:space="preserve">Generalizar para populações muito além da amostra sem replicações que sustentem a generalização</w:t>
      </w:r>
    </w:p>
    <w:p>
      <w:pPr>
        <w:pStyle w:val="ListParagraph"/>
        <w:numPr>
          <w:ilvl w:val="0"/>
          <w:numId w:val="3"/>
        </w:numPr>
        <w:spacing w:after="30" w:before="30" w:line="240" w:lineRule="auto"/>
        <w:jc w:val="both"/>
      </w:pPr>
      <w:r>
        <w:rPr>
          <w:rFonts w:ascii="Times New Roman" w:cs="Times New Roman" w:eastAsia="Times New Roman" w:hAnsi="Times New Roman"/>
          <w:sz w:val="18"/>
          <w:szCs w:val="18"/>
        </w:rPr>
        <w:t xml:space="preserve">Usar apenas estudantes sem discutir as implicações para validade externa</w:t>
      </w:r>
    </w:p>
    <w:p>
      <w:pPr>
        <w:spacing w:after="0" w:before="120"/>
      </w:pPr>
      <w:r>
        <w:t xml:space="preserve"/>
      </w:r>
    </w:p>
    <w:p>
      <w:pPr>
        <w:spacing w:after="120" w:before="240" w:line="240" w:lineRule="auto"/>
        <w:jc w:val="left"/>
      </w:pPr>
      <w:r>
        <w:rPr>
          <w:rFonts w:ascii="Times New Roman" w:cs="Times New Roman" w:eastAsia="Times New Roman" w:hAnsi="Times New Roman"/>
          <w:b/>
          <w:bCs/>
          <w:sz w:val="22"/>
          <w:szCs w:val="22"/>
        </w:rPr>
        <w:t xml:space="preserve">REFERÊNCIAS</w:t>
      </w:r>
    </w:p>
    <w:p>
      <w:pPr>
        <w:spacing w:after="80" w:before="0" w:line="240" w:lineRule="auto"/>
        <w:ind w:left="720" w:hanging="720"/>
        <w:jc w:val="both"/>
      </w:pPr>
      <w:r>
        <w:rPr>
          <w:rFonts w:ascii="Times New Roman" w:cs="Times New Roman" w:eastAsia="Times New Roman" w:hAnsi="Times New Roman"/>
          <w:sz w:val="18"/>
          <w:szCs w:val="18"/>
        </w:rPr>
        <w:t xml:space="preserve">Cohen, J. (1988). Statistical Power Analysis for the Behavioral Sciences. 2ª ed. Lawrence Erlbaum Associates.</w:t>
      </w:r>
    </w:p>
    <w:p>
      <w:pPr>
        <w:spacing w:after="80" w:before="0" w:line="240" w:lineRule="auto"/>
        <w:ind w:left="720" w:hanging="720"/>
        <w:jc w:val="both"/>
      </w:pPr>
      <w:r>
        <w:rPr>
          <w:rFonts w:ascii="Times New Roman" w:cs="Times New Roman" w:eastAsia="Times New Roman" w:hAnsi="Times New Roman"/>
          <w:sz w:val="18"/>
          <w:szCs w:val="18"/>
        </w:rPr>
        <w:t xml:space="preserve">Ralph, P. et al. (2020). Empirical Standards for Software Engineering Research. arXiv:2010.03525.</w:t>
      </w:r>
    </w:p>
    <w:p>
      <w:pPr>
        <w:spacing w:after="80" w:before="0" w:line="240" w:lineRule="auto"/>
        <w:ind w:left="720" w:hanging="720"/>
        <w:jc w:val="both"/>
      </w:pPr>
      <w:r>
        <w:rPr>
          <w:rFonts w:ascii="Times New Roman" w:cs="Times New Roman" w:eastAsia="Times New Roman" w:hAnsi="Times New Roman"/>
          <w:sz w:val="18"/>
          <w:szCs w:val="18"/>
        </w:rPr>
        <w:t xml:space="preserve">Wohlin, C. et al. (2012). Experimentation in Software Engineering. Springer.</w:t>
      </w:r>
    </w:p>
    <w:p>
      <w:pPr>
        <w:spacing w:after="80" w:before="0" w:line="240" w:lineRule="auto"/>
        <w:ind w:left="720" w:hanging="720"/>
        <w:jc w:val="both"/>
      </w:pPr>
      <w:r>
        <w:rPr>
          <w:rFonts w:ascii="Times New Roman" w:cs="Times New Roman" w:eastAsia="Times New Roman" w:hAnsi="Times New Roman"/>
          <w:sz w:val="18"/>
          <w:szCs w:val="18"/>
        </w:rPr>
        <w:t xml:space="preserve">Easterbrook, S. et al. (2008). Selecting Empirical Methods for Software Engineering Research. In: Shull, Singer &amp; Sjøberg (eds.), Guide to Advanced Empirical Software Engineering. Springer.</w:t>
      </w:r>
    </w:p>
    <w:p>
      <w:pPr>
        <w:spacing w:after="80" w:before="0" w:line="240" w:lineRule="auto"/>
        <w:ind w:left="720" w:hanging="720"/>
        <w:jc w:val="both"/>
      </w:pPr>
      <w:r>
        <w:rPr>
          <w:rFonts w:ascii="Times New Roman" w:cs="Times New Roman" w:eastAsia="Times New Roman" w:hAnsi="Times New Roman"/>
          <w:sz w:val="18"/>
          <w:szCs w:val="18"/>
        </w:rPr>
        <w:t xml:space="preserve">Kitchenham, B. e Charters, S. (2007). Guidelines for Performing Systematic Literature Reviews in Software Engineering. EBSE Technical Report.</w:t>
      </w:r>
    </w:p>
    <w:sectPr>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60"/>
      </w:pPr>
    </w:lvl>
  </w:abstractNum>
  <w:abstractNum w:abstractNumId="3" w15:restartNumberingAfterBreak="0">
    <w:multiLevelType w:val="hybridMultilevel"/>
    <w:lvl w:ilvl="0" w15:tentative="1">
      <w:start w:val="1"/>
      <w:numFmt w:val="bullet"/>
      <w:lvlText w:val="•"/>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2026-06-14T18:19:02.141Z</dcterms:created>
  <dcterms:modified xsi:type="dcterms:W3CDTF">2026-06-14T18:19:02.152Z</dcterms:modified>
</cp:coreProperties>
</file>

<file path=docProps/custom.xml><?xml version="1.0" encoding="utf-8"?>
<Properties xmlns="http://schemas.openxmlformats.org/officeDocument/2006/custom-properties" xmlns:vt="http://schemas.openxmlformats.org/officeDocument/2006/docPropsVTypes"/>
</file>