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Adoção de Práticas Ágeis em uma Empresa de Software de Médio Porte: Um Estudo de Caso Explanatório</w:t>
      </w:r>
    </w:p>
    <w:p>
      <w:pPr>
        <w:spacing w:after="80" w:before="0"/>
        <w:jc w:val="center"/>
      </w:pPr>
      <w:r>
        <w:rPr>
          <w:rFonts w:ascii="Times New Roman" w:cs="Times New Roman" w:eastAsia="Times New Roman" w:hAnsi="Times New Roman"/>
          <w:sz w:val="22"/>
          <w:szCs w:val="22"/>
        </w:rPr>
        <w:t xml:space="preserve">Fernanda Lemos Carvalho¹, Gustavo Henrique Maia²</w:t>
      </w:r>
    </w:p>
    <w:p>
      <w:pPr>
        <w:spacing w:after="40" w:before="0"/>
        <w:jc w:val="center"/>
      </w:pPr>
      <w:r>
        <w:rPr>
          <w:rFonts w:ascii="Times New Roman" w:cs="Times New Roman" w:eastAsia="Times New Roman" w:hAnsi="Times New Roman"/>
          <w:i/>
          <w:iCs/>
          <w:sz w:val="18"/>
          <w:szCs w:val="18"/>
        </w:rPr>
        <w:t xml:space="preserve">¹Programa de Pós-Graduação em Engenharia de Software – Universidade C</w:t>
      </w:r>
    </w:p>
    <w:p>
      <w:pPr>
        <w:spacing w:after="40" w:before="0"/>
        <w:jc w:val="center"/>
      </w:pPr>
      <w:r>
        <w:rPr>
          <w:rFonts w:ascii="Times New Roman" w:cs="Times New Roman" w:eastAsia="Times New Roman" w:hAnsi="Times New Roman"/>
          <w:i/>
          <w:iCs/>
          <w:sz w:val="18"/>
          <w:szCs w:val="18"/>
        </w:rPr>
        <w:t xml:space="preserve">²Departamento de Ciência da Computação – Universidade D</w:t>
      </w:r>
    </w:p>
    <w:p>
      <w:pPr>
        <w:spacing w:after="160" w:before="0"/>
        <w:jc w:val="center"/>
      </w:pPr>
      <w:r>
        <w:rPr>
          <w:rFonts w:ascii="Times New Roman" w:cs="Times New Roman" w:eastAsia="Times New Roman" w:hAnsi="Times New Roman"/>
          <w:sz w:val="18"/>
          <w:szCs w:val="18"/>
        </w:rPr>
        <w:t xml:space="preserve">f.carvalho@univ-c.br, g.maia@univ-d.br</w:t>
      </w:r>
    </w:p>
    <w:p>
      <w:pPr>
        <w:pBdr>
          <w:bottom w:val="single" w:color="333333" w:sz="6" w:space="1"/>
        </w:pBdr>
        <w:spacing w:after="120" w:before="120"/>
      </w:pPr>
      <w:r>
        <w:t xml:space="preserve"/>
      </w:r>
    </w:p>
    <w:p>
      <w:pPr>
        <w:spacing w:after="80" w:before="0" w:line="240" w:lineRule="auto"/>
        <w:jc w:val="both"/>
      </w:pPr>
      <w:r>
        <w:rPr>
          <w:rFonts w:ascii="Times New Roman" w:cs="Times New Roman" w:eastAsia="Times New Roman" w:hAnsi="Times New Roman"/>
          <w:b/>
          <w:bCs/>
          <w:sz w:val="20"/>
          <w:szCs w:val="20"/>
        </w:rPr>
        <w:t xml:space="preserve">Resumo. </w:t>
      </w:r>
      <w:r>
        <w:rPr>
          <w:rFonts w:ascii="Times New Roman" w:cs="Times New Roman" w:eastAsia="Times New Roman" w:hAnsi="Times New Roman"/>
          <w:sz w:val="20"/>
          <w:szCs w:val="20"/>
        </w:rPr>
        <w:t xml:space="preserve">Este artigo apresenta um estudo de caso que combina elementos explanatórios e construtivistas para investigar como e por que uma empresa brasileira de software de médio porte (120 funcionários, setor financeiro) transitou de um processo de desenvolvimento em cascata para práticas ágeis ao longo de 18 meses. Três questões de pesquisa foram formuladas a priori com proposições teóricas derivadas da literatura; uma quarta questão emergiu durante a análise dos dados, sem proposição prévia, ilustrando o movimento construtivista de deixar o fenômeno falar. O caso foi selecionado por ser teoricamente relevante: a empresa operava em domínio regulado, onde a tensão entre agilidade e conformidade regulatória era esperada como fator complicador. Os dados foram coletados por meio de 14 entrevistas semiestruturadas, análise de 47 documentos e observação não participante de três cerimônias de sprint. A análise seguiu codificação temática em dois ciclos. Os resultados incluem três proposições sustentadas por cadeia de evidências e um achado emergente sobre a função identitária da linguagem ágil na organização. Este artigo foi construído com apoio de um modelo de linguagem de grande escala (LLM) com o objetivo de exemplificar as características do método estudo de caso para fins didáticos em cursos de pós-graduação em Computação.</w:t>
      </w:r>
    </w:p>
    <w:p>
      <w:pPr>
        <w:spacing w:after="160" w:before="0" w:line="240" w:lineRule="auto"/>
        <w:jc w:val="both"/>
      </w:pPr>
      <w:r>
        <w:rPr>
          <w:rFonts w:ascii="Times New Roman" w:cs="Times New Roman" w:eastAsia="Times New Roman" w:hAnsi="Times New Roman"/>
          <w:b/>
          <w:bCs/>
          <w:sz w:val="20"/>
          <w:szCs w:val="20"/>
        </w:rPr>
        <w:t xml:space="preserve">Palavras-chave. </w:t>
      </w:r>
      <w:r>
        <w:rPr>
          <w:rFonts w:ascii="Times New Roman" w:cs="Times New Roman" w:eastAsia="Times New Roman" w:hAnsi="Times New Roman"/>
          <w:sz w:val="20"/>
          <w:szCs w:val="20"/>
        </w:rPr>
        <w:t xml:space="preserve">Estudo de Caso; Adoção Ágil; Engenharia de Software; Métodos Qualitativos; Análise Temática.</w:t>
      </w:r>
    </w:p>
    <w:p>
      <w:pPr>
        <w:pBdr>
          <w:bottom w:val="single" w:color="333333" w:sz="6" w:space="1"/>
        </w:pBdr>
        <w:spacing w:after="12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1. INTRODUÇÃO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adoção de métodos ágeis em organizações de software é um fenômeno amplamente documentado em termos de prevalência — surveys indicam que a grande maioria das empresas de software usa alguma forma de prática ágil — mas muito menos compreendido em termos de processo. Saber que as organizações adotam Scrum ou Kanban diz pouco sobre como essa transição acontece na prática, quais resistências surgem, quais adaptações são feitas ao método original e por que algumas adoções produzem transformações culturais profundas enquanto outras resultam em 'agilidade cosmética' — os rituais sem a substância.</w:t>
      </w:r>
    </w:p>
    <w:p>
      <w:pPr>
        <w:spacing w:after="120" w:before="0" w:line="240" w:lineRule="auto"/>
        <w:jc w:val="both"/>
      </w:pPr>
      <w:r>
        <w:rPr>
          <w:rFonts w:ascii="Times New Roman" w:cs="Times New Roman" w:eastAsia="Times New Roman" w:hAnsi="Times New Roman"/>
          <w:b w:val="false"/>
          <w:bCs w:val="false"/>
          <w:i/>
          <w:iCs/>
          <w:sz w:val="18"/>
          <w:szCs w:val="18"/>
        </w:rPr>
        <w:t xml:space="preserve">Nota sobre este artigo: Este texto foi construído com apoio de um modelo de linguagem de grande escala (LLM) com propósito exclusivamente didático. Os participantes, a organização e os dados são fictícios. O objetivo é ilustrar as características do método estudo de caso — especialmente a textura dos resultados qualitativos, a cadeia de evidências e o uso de citações diretas — para leitores que estão conhecendo o método pela primeira vez.</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estudo de caso é o método adequado quando queremos entender como e por que um fenômeno ocorre em seu contexto real, quando as fronteiras entre o fenômeno e o contexto não são claramente distinguíveis (Yin, 2015). No caso da adoção ágil, o contexto organizacional — estrutura hierárquica, cultura de compliance, histórico de projetos — não é ruído a ser controlado, mas parte constitutiva do fenômeno. Um experimento controlado que extraísse a adoção ágil de seu contexto organizacional não conseguiria capturar exatamente o que nos interessa.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As questões de pesquisa que guiam este estudo são:</w:t>
      </w:r>
    </w:p>
    <w:p>
      <w:pPr>
        <w:spacing w:after="0" w:before="40"/>
      </w:pPr>
      <w:r>
        <w:t xml:space="preserve"/>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RQ1: Como ocorreu o processo de adoção de práticas ágeis na organização estudada?</w:t>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RQ2: Por que certas práticas ágeis foram adotadas com mais resistência do que outras?</w:t>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RQ3: Como a organização resolveu a tensão entre agilidade e conformidade regulatória?</w:t>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RQ4 (emergente): Que significados os membros da organização constroem sobre o que significa 'ser ágil'?</w:t>
      </w:r>
    </w:p>
    <w:p>
      <w:pPr>
        <w:spacing w:after="0" w:before="8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Note que RQ1–RQ3 são do tipo 'como' e 'por que' — os tipos de pergunta que, segundo Yin (2015), caracterizam o domínio natural do estudo de caso. RQs do tipo 'quantos' ou 'com que frequência' levariam ao survey. RQs do tipo 'X causa Y?' levariam ao experimento. A escolha do método começa na escolha da pergunta.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RQ4 tem natureza distinta das demais: ela não foi formulada antes da entrada no campo, mas emergiu durante a análise, quando os dados revelaram que diferentes atores usavam o termo 'ágil' com significados radicalmente distintos. Sua inclusão ilustra um princípio construtivista fundamental: em estudos qualitativos, o pesquisador deve permanecer aberto ao surgimento de perguntas que os dados impõem, mesmo que não estivessem no protocolo original. Uma RQ emergente não invalida o protocolo — ela o enriquece, revelando dimensões do fenômeno que a teoria prévia não conseguia antecipar.</w:t>
      </w:r>
    </w:p>
    <w:p>
      <w:pPr>
        <w:spacing w:after="120" w:before="240" w:line="240" w:lineRule="auto"/>
        <w:jc w:val="left"/>
      </w:pPr>
      <w:r>
        <w:rPr>
          <w:rFonts w:ascii="Times New Roman" w:cs="Times New Roman" w:eastAsia="Times New Roman" w:hAnsi="Times New Roman"/>
          <w:b/>
          <w:bCs/>
          <w:sz w:val="22"/>
          <w:szCs w:val="22"/>
        </w:rPr>
        <w:t xml:space="preserve">2. MÉTODO</w:t>
      </w:r>
    </w:p>
    <w:p>
      <w:pPr>
        <w:spacing w:after="80" w:before="160" w:line="240" w:lineRule="auto"/>
        <w:jc w:val="left"/>
      </w:pPr>
      <w:r>
        <w:rPr>
          <w:rFonts w:ascii="Times New Roman" w:cs="Times New Roman" w:eastAsia="Times New Roman" w:hAnsi="Times New Roman"/>
          <w:b/>
          <w:bCs/>
          <w:i/>
          <w:iCs/>
          <w:sz w:val="20"/>
          <w:szCs w:val="20"/>
        </w:rPr>
        <w:t xml:space="preserve">2.1 Posicionamento Filosófico: Uma Postura Dual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Este estudo adota uma postura predominantemente interpretativista (construtivista), compatível com a tradição dos estudos de caso qualitativos em Engenharia de Software (Runeson e Höst, 2009). Partimos do pressuposto de que os processos de adoção ágil são fenômenos socialmente construídos: eles não existem como realidade objetiva independente das percepções, narrativas e negociações dos atores envolvidos. O pesquisador, nessa perspectiva, não é um observador neutro que mede o fenômeno, mas um intérprete que constrói entendimento a partir das perspectivas dos participantes.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Esse posicionamento tem implicações diretas para o método: privilegiamos dados qualitativos ricos (entrevistas, documentos, observação), análise interpretativa (não estatística), e apresentamos os resultados como proposições sustentadas por evidências — não como médias ou frequências. O critério de qualidade não é a validade estatística, mas a credibilidade, transferibilidade e confirmabilidade (Lincoln e Guba, 1985).</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estudo opera, contudo, em dois registros epistemológicos distintos conforme a questão de pesquisa. Para RQ1–RQ3, adotamos uma lógica mais próxima do realismo crítico: existem mecanismos causais (a redistribuição de poder, a tensão regulatória, o papel do agente de mudança) que podem ser identificados e descritos, mesmo que nossa acesso a eles seja sempre mediado pela interpretação. Para RQ4, a lógica é plenamente construtivista: não buscamos identificar 'o que agilidade realmente é', mas como diferentes atores constroem e negociam o significado do termo em seu cotidiano. Não há realidade objetiva para ser descoberta aqui — há múltiplas construções de sentido que coexistem, às vezes em tensão.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Essa dualidade não é incomum em estudos de caso em ES. Ela reflete a natureza plural do fenômeno organizacional: alguns aspectos (quem decide o backlog, que documentos são produzidos) têm caráter mais factual; outros (o que significa 'ser ágil', o que constitui 'entrega de valor') são inteiramente construídos na interação entre os atores. O pesquisador que ignora essa distinção corre o risco de tratar construções sociais como fatos objetivos — um equívoco com consequências analíticas sérias.</w:t>
      </w:r>
    </w:p>
    <w:p>
      <w:pPr>
        <w:spacing w:after="80" w:before="160" w:line="240" w:lineRule="auto"/>
        <w:jc w:val="left"/>
      </w:pPr>
      <w:r>
        <w:rPr>
          <w:rFonts w:ascii="Times New Roman" w:cs="Times New Roman" w:eastAsia="Times New Roman" w:hAnsi="Times New Roman"/>
          <w:b/>
          <w:bCs/>
          <w:i/>
          <w:iCs/>
          <w:sz w:val="20"/>
          <w:szCs w:val="20"/>
        </w:rPr>
        <w:t xml:space="preserve">2.2 Design: Estudo de Caso Único Explanatório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design adotado é um estudo de caso único com unidade de análise incorporada múltipla (Yin, 2015). O caso é a organização como um todo; as unidades de análise incorporadas são as três equipes de desenvolvimento que passaram pela transição ágil em momentos distintos. O design de caso único é justificável quando o caso representa uma oportunidade de investigar um fenômeno de forma reveladora — aqui, a tensão específica entre agilidade e compliance regulatório em um setor financeiro.</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Optamos por estudo de caso único (em vez de múltiplos casos) porque o fenômeno de interesse — a tensão entre ágil e compliance — é especialmente pronunciado nesta organização, que opera em domínio regulado pelo Banco Central. Essa característica a torna um 'caso crítico': se práticas ágeis funcionam aqui, onde as restrições regulatórias são mais severas, isso oferece evidência mais robusta do que se funcionassem em organizações sem esse constrangimento.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caráter explanatório distingue este estudo de um estudo de caso exploratório ou descritivo. Não nos contentamos em descrever o que aconteceu — buscamos explicar por que aconteceu, identificando mecanismos causais e condições contextuais. As proposições teóricas que guiam a análise (ver seção 2.3) são derivadas de literatura existente e funcionam como lentes que orientam a coleta e a análise, sem determiná-las.</w:t>
      </w:r>
    </w:p>
    <w:p>
      <w:pPr>
        <w:spacing w:after="80" w:before="160" w:line="240" w:lineRule="auto"/>
        <w:jc w:val="left"/>
      </w:pPr>
      <w:r>
        <w:rPr>
          <w:rFonts w:ascii="Times New Roman" w:cs="Times New Roman" w:eastAsia="Times New Roman" w:hAnsi="Times New Roman"/>
          <w:b/>
          <w:bCs/>
          <w:i/>
          <w:iCs/>
          <w:sz w:val="20"/>
          <w:szCs w:val="20"/>
        </w:rPr>
        <w:t xml:space="preserve">2.3 Proposições do Estudo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Seguindo Yin (2015), especificamos três proposições teóricas a priori que orientam o estudo. Elas derivam da teoria sobre adoção de inovações em organizações e sobre a relação entre práticas ágeis e conformidade regulatória:</w:t>
      </w:r>
    </w:p>
    <w:p>
      <w:pPr>
        <w:spacing w:after="0" w:before="40"/>
      </w:pPr>
      <w:r>
        <w:t xml:space="preserve"/>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P1:  </w:t>
      </w:r>
      <w:r>
        <w:rPr>
          <w:rFonts w:ascii="Times New Roman" w:cs="Times New Roman" w:eastAsia="Times New Roman" w:hAnsi="Times New Roman"/>
          <w:sz w:val="20"/>
          <w:szCs w:val="20"/>
        </w:rPr>
        <w:t xml:space="preserve">A adoção de práticas ágeis em organizações com cultura hierárquica forte encontrará maior resistência em práticas que redistribuem poder de decisão (ex.: autonomia do time) do que em práticas procedimentais (ex.: reuniões diárias).</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P2:  </w:t>
      </w:r>
      <w:r>
        <w:rPr>
          <w:rFonts w:ascii="Times New Roman" w:cs="Times New Roman" w:eastAsia="Times New Roman" w:hAnsi="Times New Roman"/>
          <w:sz w:val="20"/>
          <w:szCs w:val="20"/>
        </w:rPr>
        <w:t xml:space="preserve">Práticas ágeis que exigem velocidade e informalidade entrarão em conflito com processos de documentação regulatória, e a organização desenvolverá adaptações híbridas para gerenciar essa tensão.</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P3:  </w:t>
      </w:r>
      <w:r>
        <w:rPr>
          <w:rFonts w:ascii="Times New Roman" w:cs="Times New Roman" w:eastAsia="Times New Roman" w:hAnsi="Times New Roman"/>
          <w:sz w:val="20"/>
          <w:szCs w:val="20"/>
        </w:rPr>
        <w:t xml:space="preserve">A presença de um agente interno de mudança com credibilidade técnica e política é condição necessária (mas não suficiente) para que a adoção ágil avance além dos rituais superficiais.</w:t>
      </w:r>
    </w:p>
    <w:p>
      <w:pPr>
        <w:spacing w:after="0" w:before="80"/>
      </w:pPr>
      <w:r>
        <w:t xml:space="preserve"/>
      </w:r>
    </w:p>
    <w:p>
      <w:pPr>
        <w:spacing w:after="80" w:before="160" w:line="240" w:lineRule="auto"/>
        <w:jc w:val="left"/>
      </w:pPr>
      <w:r>
        <w:rPr>
          <w:rFonts w:ascii="Times New Roman" w:cs="Times New Roman" w:eastAsia="Times New Roman" w:hAnsi="Times New Roman"/>
          <w:b/>
          <w:bCs/>
          <w:i/>
          <w:iCs/>
          <w:sz w:val="20"/>
          <w:szCs w:val="20"/>
        </w:rPr>
        <w:t xml:space="preserve">2.4 Seleção do Caso e Acesso ao Campo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organização estudada — aqui referida como AlphaTech — é uma empresa brasileira de software para o setor financeiro com 120 funcionários, fundada em 2008, que desenvolveu seus sistemas originalmente com metodologia em cascata estruturada. Em 2021, a diretoria de tecnologia iniciou uma transição para Scrum, motivada por reclamações de clientes sobre tempo de resposta a mudanças regulatórias e por alta rotatividade de desenvolvedores que buscavam ambientes mais ágeis.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acesso ao campo foi negociado ao longo de dois meses, com a mediação de um ex-aluno de pós-graduação que trabalhava na empresa. A pesquisadora principal assinou termo de confidencialidade que vedava a identificação pública da organização e de seus colaboradores. Todos os participantes assinaram Termo de Consentimento Livre e Esclarecido (TCLE). O protocolo foi aprovado pelo Comitê de Ética em Pesquisa da instituição.</w:t>
      </w:r>
    </w:p>
    <w:p>
      <w:pPr>
        <w:spacing w:after="80" w:before="160" w:line="240" w:lineRule="auto"/>
        <w:jc w:val="left"/>
      </w:pPr>
      <w:r>
        <w:rPr>
          <w:rFonts w:ascii="Times New Roman" w:cs="Times New Roman" w:eastAsia="Times New Roman" w:hAnsi="Times New Roman"/>
          <w:b/>
          <w:bCs/>
          <w:i/>
          <w:iCs/>
          <w:sz w:val="20"/>
          <w:szCs w:val="20"/>
        </w:rPr>
        <w:t xml:space="preserve">2.5 Coleta de Dados: Múltiplas Fontes de Evidência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princípio central do estudo de caso é a triangulação de múltiplas fontes de evidência. Não confiamos em uma única fonte porque cada fonte tem pontos cegos: entrevistas refletem percepções subjetivas; documentos podem omitir conflitos; observação pode capturar comportamentos performativos. A convergência de evidências de fontes distintas aumenta a credibilidade das proposições.</w:t>
      </w:r>
    </w:p>
    <w:p>
      <w:pPr>
        <w:spacing w:after="60" w:before="120"/>
        <w:jc w:val="center"/>
      </w:pPr>
      <w:r>
        <w:rPr>
          <w:rFonts w:ascii="Times New Roman" w:cs="Times New Roman" w:eastAsia="Times New Roman" w:hAnsi="Times New Roman"/>
          <w:b/>
          <w:bCs/>
          <w:sz w:val="18"/>
          <w:szCs w:val="18"/>
        </w:rPr>
        <w:t xml:space="preserve">Tabela 1. Fontes de Evidência Utilizadas no Estudo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633"/>
        <w:gridCol w:w="5443"/>
      </w:tblGrid>
      <w:tr>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Fonte</w:t>
            </w:r>
          </w:p>
        </w:tc>
        <w:tc>
          <w:tcPr>
            <w:tcW w:type="dxa" w:w="163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Volume</w:t>
            </w:r>
          </w:p>
        </w:tc>
        <w:tc>
          <w:tcPr>
            <w:tcW w:type="dxa" w:w="544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Descrição</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Entrevistas semiestruturadas</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14 entrevistas</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Duração de 45–90 min. Gravadas e transcritas. Participantes: 6 desenvolvedores, 4 gerentes de produto, 2 Scrum Masters, 1 representante de compliance, 1 diretor de TI.</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Análise documental</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47 documentos</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Registros de sprint (velocity, burn-down), atas de retrospectiva, políticas de compliance, comunicados internos sobre a transição.</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Observação não participante</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 sessões</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Revisões de sprint de três equipes distintas. Notas de campo coletadas in loco.</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Artefatos físicos/digitais</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12 itens</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Quadros Kanban (capturas de tela), templates de documentação adaptados, diagrama do processo híbrido.</w:t>
            </w:r>
          </w:p>
        </w:tc>
      </w:tr>
    </w:tbl>
    <w:p>
      <w:pPr>
        <w:spacing w:after="0" w:before="60"/>
      </w:pPr>
      <w:r>
        <w:t xml:space="preserve"/>
      </w:r>
    </w:p>
    <w:p>
      <w:pPr>
        <w:spacing w:after="80" w:before="160" w:line="240" w:lineRule="auto"/>
        <w:jc w:val="left"/>
      </w:pPr>
      <w:r>
        <w:rPr>
          <w:rFonts w:ascii="Times New Roman" w:cs="Times New Roman" w:eastAsia="Times New Roman" w:hAnsi="Times New Roman"/>
          <w:b/>
          <w:bCs/>
          <w:i/>
          <w:iCs/>
          <w:sz w:val="20"/>
          <w:szCs w:val="20"/>
        </w:rPr>
        <w:t xml:space="preserve">2.6 Análise: Codificação Temática em Dois Ciclos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análise seguiu o protocolo de codificação temática de Braun e Clarke (2006), adaptado para o contexto de estudos de caso em ES conforme sugerido por Cruzes e Dybå (2011). O processo ocorreu em dois ciclos.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No primeiro ciclo (codificação descritiva), cada segmento de dado relevante — trechos de entrevista, passagens de documentos, notas de observação — recebeu um código descritivo que capturava seu conteúdo de forma próxima ao texto original. Esse ciclo gerou 218 códigos iniciais. No segundo ciclo (codificação temática), os códigos foram agrupados em temas e subtemas, e cada agrupamento foi avaliado quanto à sua relação com as proposições teóricas. Os temas emergentes foram então cotejados com as proposições: alguns as confirmaram, outros as refinaram, e um resultado inesperado (a resistência da área de compliance) levou à revisão de P2.</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O uso de dois pesquisadores independentes para codificação de 20% do corpus (verificação de confiabilidade) gerou índice de concordância de 78% (Kappa de Cohen = 0,71), considerado aceitável para pesquisa qualitativa. Divergências foram resolvidas por discussão até consenso. Esse procedimento não tem o objetivo de 'quantificar' a análise qualitativa, mas de tornar o processo de interpretação mais transparente e auditável.</w:t>
      </w:r>
    </w:p>
    <w:p>
      <w:pPr>
        <w:spacing w:after="120" w:before="240" w:line="240" w:lineRule="auto"/>
        <w:jc w:val="left"/>
      </w:pPr>
      <w:r>
        <w:rPr>
          <w:rFonts w:ascii="Times New Roman" w:cs="Times New Roman" w:eastAsia="Times New Roman" w:hAnsi="Times New Roman"/>
          <w:b/>
          <w:bCs/>
          <w:sz w:val="22"/>
          <w:szCs w:val="22"/>
        </w:rPr>
        <w:t xml:space="preserve">3. RESULTADOS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resultados são apresentados como três proposições, cada uma seguida pela cadeia de evidências que a sustenta. Citações diretas de participantes são identificadas por código (ex.: D1 = Desenvolvedor 1, GM2 = Gerente de Produto 2, SM1 = Scrum Master 1, CO1 = Compliance Officer 1, DT1 = Diretor de TI 1). Esse formato — proposição + evidência — é a forma típica como estudos de caso explanatórios apresentam seus achados, em contraste com a tabela de médias do survey ou a tabela ANOVA do experimento.</w:t>
      </w:r>
    </w:p>
    <w:p>
      <w:pPr>
        <w:spacing w:after="80" w:before="160" w:line="240" w:lineRule="auto"/>
        <w:jc w:val="left"/>
      </w:pPr>
      <w:r>
        <w:rPr>
          <w:rFonts w:ascii="Times New Roman" w:cs="Times New Roman" w:eastAsia="Times New Roman" w:hAnsi="Times New Roman"/>
          <w:b/>
          <w:bCs/>
          <w:i/>
          <w:iCs/>
          <w:sz w:val="20"/>
          <w:szCs w:val="20"/>
        </w:rPr>
        <w:t xml:space="preserve">3.1 Proposição 1: Resistência diferenciada por tipo de prática</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P1 — confirmada:  </w:t>
      </w:r>
      <w:r>
        <w:rPr>
          <w:rFonts w:ascii="Times New Roman" w:cs="Times New Roman" w:eastAsia="Times New Roman" w:hAnsi="Times New Roman"/>
          <w:sz w:val="20"/>
          <w:szCs w:val="20"/>
        </w:rPr>
        <w:t xml:space="preserve">A adoção encontrou maior resistência em práticas que redistribuíam poder de decisão do que em práticas procedimentais.</w:t>
      </w:r>
    </w:p>
    <w:p>
      <w:pPr>
        <w:spacing w:after="0" w:before="4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As práticas procedimentais do Scrum — Daily Standup, Sprint Planning, Sprint Review — foram adotadas com relativa rapidez em todas as três equipes. Os documentos de retrospectiva das primeiras oito sprints registram comentários positivos sobre a transparência gerada pelas reuniões diárias. A observação das sessões de Sprint Review confirmou que essas cerimônias estavam funcionando como esperado: demonstrações de produto, feedback de stakeholders, registro de itens para o backlog.</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resistência concentrou-se nas práticas que implicavam mudanças na estrutura de poder:</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“Antes, quem definia o que ia para a sprint era o gerente de projeto. Com Scrum, o time começa a tomar essas decisões. Alguns gerentes sentiram que estavam perdendo controle. Teve reunião com a diretoria porque um gerente achou que o time tinha 'desobedecido' ao não incluir uma funcionalidade que ele queria.”</w:t>
      </w:r>
      <w:r>
        <w:rPr>
          <w:rFonts w:ascii="Times New Roman" w:cs="Times New Roman" w:eastAsia="Times New Roman" w:hAnsi="Times New Roman"/>
          <w:b/>
          <w:bCs/>
          <w:sz w:val="18"/>
          <w:szCs w:val="18"/>
        </w:rPr>
        <w:t xml:space="preserve">  — GM2</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“O conceito de 'time auto-organizado' foi o que demorou mais para ser aceito. As pessoas confundiam autonomia com ausência de responsabilidade. Demorou uns seis meses até os gerentes entenderem que o time assume responsabilidade diferente, não menor.”</w:t>
      </w:r>
      <w:r>
        <w:rPr>
          <w:rFonts w:ascii="Times New Roman" w:cs="Times New Roman" w:eastAsia="Times New Roman" w:hAnsi="Times New Roman"/>
          <w:b/>
          <w:bCs/>
          <w:sz w:val="18"/>
          <w:szCs w:val="18"/>
        </w:rPr>
        <w:t xml:space="preserve">  — SM1</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análise documental das atas de retrospectiva revelou que 67% das reclamações registradas nas primeiras 12 sprints referiam-se a conflitos sobre autoridade de decisão — quem pode aceitar ou recusar itens do backlog, quem define prioridade em caso de demanda urgente de cliente, quem autoriza mudança de escopo no meio da sprint. Esses conflitos diminuíram progressivamente após a décima sprint, coincidindo com a formalização de uma 'Política de Decisão Ágil' aprovada pela diretoria.</w:t>
      </w:r>
    </w:p>
    <w:p>
      <w:pPr>
        <w:spacing w:after="80" w:before="160" w:line="240" w:lineRule="auto"/>
        <w:jc w:val="left"/>
      </w:pPr>
      <w:r>
        <w:rPr>
          <w:rFonts w:ascii="Times New Roman" w:cs="Times New Roman" w:eastAsia="Times New Roman" w:hAnsi="Times New Roman"/>
          <w:b/>
          <w:bCs/>
          <w:i/>
          <w:iCs/>
          <w:sz w:val="20"/>
          <w:szCs w:val="20"/>
        </w:rPr>
        <w:t xml:space="preserve">3.2 Proposição 2: Adaptações híbridas na fronteira ágil-compliance</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P2 — parcialmente confirmada, com refinamento:  </w:t>
      </w:r>
      <w:r>
        <w:rPr>
          <w:rFonts w:ascii="Times New Roman" w:cs="Times New Roman" w:eastAsia="Times New Roman" w:hAnsi="Times New Roman"/>
          <w:sz w:val="20"/>
          <w:szCs w:val="20"/>
        </w:rPr>
        <w:t xml:space="preserve">A tensão foi resolvida por adaptações híbridas, mas a resistência veio principalmente da área de compliance, não das equipes de desenvolvimento.</w:t>
      </w:r>
    </w:p>
    <w:p>
      <w:pPr>
        <w:spacing w:after="0" w:before="4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proposição original previa que as equipes de desenvolvimento resistiriam à documentação regulatória por considerá-la incompatível com a agilidade. O que observamos foi o oposto: os desenvolvedores, em sua maioria, aceitaram as exigências de documentação como uma realidade do setor. A resistência veio da área de compliance, que inicialmente recusou os artefatos gerados pelo processo ágil por não seguirem o formato documental estabelecido nas políticas internas.</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“O pessoal de compliance ficou assustado no começo. O relatório de sprint não parecia com o que eles estavam acostumados a ver. Eles precisavam de rastreabilidade formal para auditorias do Banco Central, e o modelo ágil não entregava isso no formato que eles precisavam.”</w:t>
      </w:r>
      <w:r>
        <w:rPr>
          <w:rFonts w:ascii="Times New Roman" w:cs="Times New Roman" w:eastAsia="Times New Roman" w:hAnsi="Times New Roman"/>
          <w:b/>
          <w:bCs/>
          <w:sz w:val="18"/>
          <w:szCs w:val="18"/>
        </w:rPr>
        <w:t xml:space="preserve">  — CO1</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solução emergiu de forma bottom-up, liderada pelo Scrum Master da equipe que primeiro enfrentou o problema. Foi criado um 'pacote de conformidade' — um conjunto de documentos gerados automaticamente a partir dos artefatos ágeis (histórias de usuário, critérios de aceitação, registros de sprint) que eram então traduzidos para o formato exigido pelo compliance. Esse processo foi depois padronizado para todas as equipes.</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“A gente criou um template que mapeia a história de usuário para o requisito formal. É trabalho extra, não vou mentir. Mas pelo menos o trabalho está concentrado em um processo, não espalhado por todo o time.”</w:t>
      </w:r>
      <w:r>
        <w:rPr>
          <w:rFonts w:ascii="Times New Roman" w:cs="Times New Roman" w:eastAsia="Times New Roman" w:hAnsi="Times New Roman"/>
          <w:b/>
          <w:bCs/>
          <w:sz w:val="18"/>
          <w:szCs w:val="18"/>
        </w:rPr>
        <w:t xml:space="preserve">  — SM1</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“Depois que a gente entendeu o que o compliance precisava — rastreabilidade, não necessariamente o formato — ficou mais fácil. A gente não precisa abandonar o ágil, precisa garantir que o rastro existe.”</w:t>
      </w:r>
      <w:r>
        <w:rPr>
          <w:rFonts w:ascii="Times New Roman" w:cs="Times New Roman" w:eastAsia="Times New Roman" w:hAnsi="Times New Roman"/>
          <w:b/>
          <w:bCs/>
          <w:sz w:val="18"/>
          <w:szCs w:val="18"/>
        </w:rPr>
        <w:t xml:space="preserve">  — D3</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documentos analisados confirmam a existência do 'pacote de conformidade' e sua evolução ao longo de três versões durante o período estudado. As atas das duas últimas retrospectivas observadas não registraram mais conflitos sobre documentação, sugerindo que a tensão havia sido gerenciada, embora o esforço adicional de documentação persistisse como fonte de frustração.</w:t>
      </w:r>
    </w:p>
    <w:p>
      <w:pPr>
        <w:spacing w:after="80" w:before="160" w:line="240" w:lineRule="auto"/>
        <w:jc w:val="left"/>
      </w:pPr>
      <w:r>
        <w:rPr>
          <w:rFonts w:ascii="Times New Roman" w:cs="Times New Roman" w:eastAsia="Times New Roman" w:hAnsi="Times New Roman"/>
          <w:b/>
          <w:bCs/>
          <w:i/>
          <w:iCs/>
          <w:sz w:val="20"/>
          <w:szCs w:val="20"/>
        </w:rPr>
        <w:t xml:space="preserve">3.3 Proposição 3: O papel do agente interno de mudança</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P3 — confirmada com qualificação:  </w:t>
      </w:r>
      <w:r>
        <w:rPr>
          <w:rFonts w:ascii="Times New Roman" w:cs="Times New Roman" w:eastAsia="Times New Roman" w:hAnsi="Times New Roman"/>
          <w:sz w:val="20"/>
          <w:szCs w:val="20"/>
        </w:rPr>
        <w:t xml:space="preserve">O agente interno de mudança foi condição necessária, mas seu perfil importou: credibilidade técnica era mais determinante do que posição hierárquica.</w:t>
      </w:r>
    </w:p>
    <w:p>
      <w:pPr>
        <w:spacing w:after="0" w:before="4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transição ágil na AlphaTech foi iniciada formalmente pela diretoria de TI, mas os dados convergem para identificar Márcio — um desenvolvedor sênior que se tornou Scrum Master voluntário antes de ser formalmente designado para o papel — como o agente de mudança que mais influenciou o processo nas equipes. Márcio não tinha autoridade formal sobre outros desenvolvedores nem sobre gerentes de produto.</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“O Márcio é a pessoa que as pessoas ouvem quando tem dúvida sobre o ágil. Não porque ele é chefe — ele não é. Mas porque ele conhece o código, ele sabe o que é viável tecnicamente, então quando ele diz que uma prática faz sentido, o pessoal acredita.”</w:t>
      </w:r>
      <w:r>
        <w:rPr>
          <w:rFonts w:ascii="Times New Roman" w:cs="Times New Roman" w:eastAsia="Times New Roman" w:hAnsi="Times New Roman"/>
          <w:b/>
          <w:bCs/>
          <w:sz w:val="18"/>
          <w:szCs w:val="18"/>
        </w:rPr>
        <w:t xml:space="preserve">  — D1</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“Eu tentei introduzir o Scrum na minha equipe antes, sem o suporte do Márcio. Não funcionou. As pessoas achavam que era mais uma moda de gestão que ia passar. Quando ele entrou e começou a mostrar como as histórias de usuário se conectavam com o código real, a coisa mudou.”</w:t>
      </w:r>
      <w:r>
        <w:rPr>
          <w:rFonts w:ascii="Times New Roman" w:cs="Times New Roman" w:eastAsia="Times New Roman" w:hAnsi="Times New Roman"/>
          <w:b/>
          <w:bCs/>
          <w:sz w:val="18"/>
          <w:szCs w:val="18"/>
        </w:rPr>
        <w:t xml:space="preserve">  — GM3</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qualificação de P3 emerge de um contra-exemplo importante: a equipe de infraestrutura, que não tinha um agente interno com credibilidade técnica equivalente, apresentou a adoção mais superficial das três equipes observadas. As cerimônias existiam, mas as notas de observação registram reuniões roteirizadas, sem discussão substantiva sobre o produto. A gestora dessa equipe — contratada externamente com título de Agile Coach — não tinha histórico de desenvolvimento na empresa e encontrou resistência passiva.</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“Ela sabe de agilidade, mas não sabe do nosso sistema. Quando ela sugere uma coisa, a gente faz, mas não compra a ideia. Não é descaso, é que a gente não entende como aquilo vai funcionar no nosso contexto.”</w:t>
      </w:r>
      <w:r>
        <w:rPr>
          <w:rFonts w:ascii="Times New Roman" w:cs="Times New Roman" w:eastAsia="Times New Roman" w:hAnsi="Times New Roman"/>
          <w:b/>
          <w:bCs/>
          <w:sz w:val="18"/>
          <w:szCs w:val="18"/>
        </w:rPr>
        <w:t xml:space="preserve">  — D5</w:t>
      </w:r>
    </w:p>
    <w:p>
      <w:pPr>
        <w:spacing w:after="80" w:before="160" w:line="240" w:lineRule="auto"/>
        <w:jc w:val="left"/>
      </w:pPr>
      <w:r>
        <w:rPr>
          <w:rFonts w:ascii="Times New Roman" w:cs="Times New Roman" w:eastAsia="Times New Roman" w:hAnsi="Times New Roman"/>
          <w:b/>
          <w:bCs/>
          <w:i/>
          <w:iCs/>
          <w:sz w:val="20"/>
          <w:szCs w:val="20"/>
        </w:rPr>
        <w:t xml:space="preserve">3.4 RQ4 (emergente): O que significa 'ser ágil' para os atores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Esta questão não estava no protocolo original. Ela emergiu ao longo da análise temática quando percebemos que a palavra 'ágil' aparecia com frequência extraordinária nas transcrições — mas em contextos que sugeriam significados radicalmente diferentes. Seguindo o princípio construtivista de que os significados são construídos pelos atores, e não dados a priori, iniciamos uma sub-análise focada especificamente no uso dessa palavra e de seus cognatos.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Identificamos quatro construções distintas do que significa 'ser ágil' na AlphaTech, cada uma associada a um grupo de atores:</w:t>
      </w:r>
    </w:p>
    <w:p>
      <w:pPr>
        <w:spacing w:after="60" w:before="120" w:line="240" w:lineRule="auto"/>
        <w:jc w:val="left"/>
      </w:pPr>
      <w:r>
        <w:rPr>
          <w:rFonts w:ascii="Times New Roman" w:cs="Times New Roman" w:eastAsia="Times New Roman" w:hAnsi="Times New Roman"/>
          <w:b/>
          <w:bCs/>
          <w:sz w:val="20"/>
          <w:szCs w:val="20"/>
        </w:rPr>
        <w:t xml:space="preserve">Construção 1 — Agilidade como velocidade (desenvolvedores júnior)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Para os desenvolvedores com menos de três anos de experiência, 'ágil' era quase sinônimo de 'rápido'. A narrativa dominante era a de que metodologias ágeis permitiam entregar mais em menos tempo. Essa construção estava associada a uma visão positiva da mudança — mas também a uma frustração crescente quando as sprints não produziam velocidade perceptível no curto prazo.</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“Eu vim para cá porque ouvi que era ágil. Pensei que ia ter mais entrega, menos burocracia. No começo foi decepcionante, porque as cerimônias tomavam muito tempo e parecia que a gente entregava menos, não mais.”</w:t>
      </w:r>
      <w:r>
        <w:rPr>
          <w:rFonts w:ascii="Times New Roman" w:cs="Times New Roman" w:eastAsia="Times New Roman" w:hAnsi="Times New Roman"/>
          <w:b/>
          <w:bCs/>
          <w:sz w:val="18"/>
          <w:szCs w:val="18"/>
        </w:rPr>
        <w:t xml:space="preserve">  — D4</w:t>
      </w:r>
    </w:p>
    <w:p>
      <w:pPr>
        <w:spacing w:after="60" w:before="120" w:line="240" w:lineRule="auto"/>
        <w:jc w:val="left"/>
      </w:pPr>
      <w:r>
        <w:rPr>
          <w:rFonts w:ascii="Times New Roman" w:cs="Times New Roman" w:eastAsia="Times New Roman" w:hAnsi="Times New Roman"/>
          <w:b/>
          <w:bCs/>
          <w:sz w:val="20"/>
          <w:szCs w:val="20"/>
        </w:rPr>
        <w:t xml:space="preserve">Construção 2 — Agilidade como autonomia (desenvolvedores sênior)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Desenvolvedores com mais experiência construíam 'ágil' como autonomia técnica: a possibilidade de tomar decisões sobre arquitetura, tecnologia e abordagem sem aprovação hierárquica a cada passo. Para esse grupo, o valor da metodologia não estava na velocidade de entrega, mas na qualidade das decisões técnicas — e na dignidade profissional que acompanha a autonomia.</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“Ágil, para mim, é quando o time decide como vai resolver o problema, não só o que vai resolver. O gerente define o 'o quê', mas o 'como' é nosso. Quando isso não acontece, é cascata disfarçado de Scrum.”</w:t>
      </w:r>
      <w:r>
        <w:rPr>
          <w:rFonts w:ascii="Times New Roman" w:cs="Times New Roman" w:eastAsia="Times New Roman" w:hAnsi="Times New Roman"/>
          <w:b/>
          <w:bCs/>
          <w:sz w:val="18"/>
          <w:szCs w:val="18"/>
        </w:rPr>
        <w:t xml:space="preserve">  — D2</w:t>
      </w:r>
    </w:p>
    <w:p>
      <w:pPr>
        <w:spacing w:after="60" w:before="120" w:line="240" w:lineRule="auto"/>
        <w:jc w:val="left"/>
      </w:pPr>
      <w:r>
        <w:rPr>
          <w:rFonts w:ascii="Times New Roman" w:cs="Times New Roman" w:eastAsia="Times New Roman" w:hAnsi="Times New Roman"/>
          <w:b/>
          <w:bCs/>
          <w:sz w:val="20"/>
          <w:szCs w:val="20"/>
        </w:rPr>
        <w:t xml:space="preserve">Construção 3 — Agilidade como processo controlado (gestores)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Para a maioria dos gestores de produto, 'ágil' era essencialmente um processo de planejamento mais granular e com maior visibilidade. Sprints de duas semanas substituíam cronogramas de seis meses — não porque a filosofia de autonomia fosse valorizada, mas porque backlogs e burn-downs ofereciam controle mais fino sobre o progresso. Essa construção é o que alguns autores chamam de 'taylorismo ágil': os rituais do Scrum a serviço de uma lógica de controle que permanece intacta.</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“Para mim, o ágil resolveu um problema de previsibilidade. Antes eu não sabia o que o time estava fazendo semana a semana. Agora tenho o burn-down. É muito melhor.”</w:t>
      </w:r>
      <w:r>
        <w:rPr>
          <w:rFonts w:ascii="Times New Roman" w:cs="Times New Roman" w:eastAsia="Times New Roman" w:hAnsi="Times New Roman"/>
          <w:b/>
          <w:bCs/>
          <w:sz w:val="18"/>
          <w:szCs w:val="18"/>
        </w:rPr>
        <w:t xml:space="preserve">  — GM1</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“Planejamento de sprint é uma reunião de alinhamento, não uma cerimônia filosófica. A gente define o que entra, o time executa. Isso é ágil.”</w:t>
      </w:r>
      <w:r>
        <w:rPr>
          <w:rFonts w:ascii="Times New Roman" w:cs="Times New Roman" w:eastAsia="Times New Roman" w:hAnsi="Times New Roman"/>
          <w:b/>
          <w:bCs/>
          <w:sz w:val="18"/>
          <w:szCs w:val="18"/>
        </w:rPr>
        <w:t xml:space="preserve">  — GM4</w:t>
      </w:r>
    </w:p>
    <w:p>
      <w:pPr>
        <w:spacing w:after="60" w:before="120" w:line="240" w:lineRule="auto"/>
        <w:jc w:val="left"/>
      </w:pPr>
      <w:r>
        <w:rPr>
          <w:rFonts w:ascii="Times New Roman" w:cs="Times New Roman" w:eastAsia="Times New Roman" w:hAnsi="Times New Roman"/>
          <w:b/>
          <w:bCs/>
          <w:sz w:val="20"/>
          <w:szCs w:val="20"/>
        </w:rPr>
        <w:t xml:space="preserve">Construção 4 — Agilidade como identidade profissional (Scrum Masters)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Para os Scrum Masters, 'ágil' extrapolava qualquer prática específica e funcionava como identidade profissional e marco de distinção. Eles descreviam a transição nos termos de uma conversão: havia um 'antes' (cascata, hierarquia, silos) e um 'depois' (colaboração, transparência, melhoria contínua). Essa narrativa tinha estrutura mítica — com herói, antagonista e redenção — que os dados sugeriam ser tanto descritiva do que aconteceu quanto prescritiva do que deveria acontecer.</w:t>
      </w:r>
    </w:p>
    <w:p>
      <w:pPr>
        <w:pBdr>
          <w:left w:val="single" w:color="888888" w:sz="8" w:space="4"/>
        </w:pBdr>
        <w:shd w:fill="F8F8F8" w:val="clear"/>
        <w:spacing w:after="80" w:before="80" w:line="240" w:lineRule="auto"/>
        <w:ind w:left="720" w:right="360"/>
        <w:jc w:val="both"/>
      </w:pPr>
      <w:r>
        <w:rPr>
          <w:rFonts w:ascii="Times New Roman" w:cs="Times New Roman" w:eastAsia="Times New Roman" w:hAnsi="Times New Roman"/>
          <w:i/>
          <w:iCs/>
          <w:sz w:val="18"/>
          <w:szCs w:val="18"/>
        </w:rPr>
        <w:t xml:space="preserve">“Ágil não é uma metodologia, é uma mentalidade. Quando as pessoas entendem isso, tudo muda. Quando continuam pensando que é só um jeito diferente de fazer planilha, a gente fica preso no mesmo lugar.”</w:t>
      </w:r>
      <w:r>
        <w:rPr>
          <w:rFonts w:ascii="Times New Roman" w:cs="Times New Roman" w:eastAsia="Times New Roman" w:hAnsi="Times New Roman"/>
          <w:b/>
          <w:bCs/>
          <w:sz w:val="18"/>
          <w:szCs w:val="18"/>
        </w:rPr>
        <w:t xml:space="preserve">  — SM2</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coexistência dessas quatro construções no mesmo espaço organizacional explica, retrospectivamente, parte dos conflitos documentados nas atas de retrospectiva. Quando GM1 afirma que 'o ágil resolveu o problema de previsibilidade' e SM2 responde que 'ágil não é uma metodologia, é uma mentalidade', eles não estão discordando sobre fatos — estão operando com construções de sentido fundamentalmente diferentes, que atribuem propósitos distintos às mesmas práticas. Um survey que perguntasse 'você adota Scrum?' não capturaria essa fragmentação de significados; só a análise em profundidade das falas, no contexto em que foram produzidas, a torna visível.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Esse achado tem implicações práticas: conflitos em adoções ágeis podem ser, em parte, conflitos de construção de sentido — não de má fé ou resistência técnica, mas de genuína divergência sobre o que se está buscando. Intervenções que tratam o problema como técnico (treinamento em Scrum) podem ser insuficientes se o problema é hermenêutico (negociação de significados).</w:t>
      </w:r>
    </w:p>
    <w:p>
      <w:pPr>
        <w:spacing w:after="120" w:before="240" w:line="240" w:lineRule="auto"/>
        <w:jc w:val="left"/>
      </w:pPr>
      <w:r>
        <w:rPr>
          <w:rFonts w:ascii="Times New Roman" w:cs="Times New Roman" w:eastAsia="Times New Roman" w:hAnsi="Times New Roman"/>
          <w:b/>
          <w:bCs/>
          <w:sz w:val="22"/>
          <w:szCs w:val="22"/>
        </w:rPr>
        <w:t xml:space="preserve">4. DISCUSSÃO</w:t>
      </w:r>
    </w:p>
    <w:p>
      <w:pPr>
        <w:spacing w:after="80" w:before="160" w:line="240" w:lineRule="auto"/>
        <w:jc w:val="left"/>
      </w:pPr>
      <w:r>
        <w:rPr>
          <w:rFonts w:ascii="Times New Roman" w:cs="Times New Roman" w:eastAsia="Times New Roman" w:hAnsi="Times New Roman"/>
          <w:b/>
          <w:bCs/>
          <w:i/>
          <w:iCs/>
          <w:sz w:val="20"/>
          <w:szCs w:val="20"/>
        </w:rPr>
        <w:t xml:space="preserve">4.1 O que o Estudo de Caso Produz que Outros Métodos não Produzem</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resultados acima não poderiam ter sido produzidos por um survey ou por um experimento controlado. Um survey poderia ter nos dito que 'X% das empresas financeiras reportam dificuldades na adoção ágil por razões de compliance' — mas não por que a resistência veio do compliance e não dos desenvolvedores, nem como a solução bottom-up emergiu, nem o papel específico de um agente técnico com credibilidade informalmente construída. O experimento controlado exigiria isolar variáveis que, neste fenômeno, são constitutivamente entrelaçadas: a credibilidade do Márcio não existe fora do contexto organizacional em que foi construída.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estudo de caso entrega densidade explicativa: não apenas o que ocorreu, mas os mecanismos pelos quais ocorreu. P2 é um exemplo claro — a inversão da fonte de resistência (compliance em vez de desenvolvedores) só se tornou visível porque pudemos observar o processo de dentro, ao longo do tempo, com múltiplas perspectivas. Um survey que perguntasse 'quem mais resiste à adoção ágil em sua organização?' poderia ter capturado esse dado, mas não teria explicado por que a resistência teve essa origem específica nem como foi resolvida.</w:t>
      </w:r>
    </w:p>
    <w:p>
      <w:pPr>
        <w:spacing w:after="80" w:before="160" w:line="240" w:lineRule="auto"/>
        <w:jc w:val="left"/>
      </w:pPr>
      <w:r>
        <w:rPr>
          <w:rFonts w:ascii="Times New Roman" w:cs="Times New Roman" w:eastAsia="Times New Roman" w:hAnsi="Times New Roman"/>
          <w:b/>
          <w:bCs/>
          <w:i/>
          <w:iCs/>
          <w:sz w:val="20"/>
          <w:szCs w:val="20"/>
        </w:rPr>
        <w:t xml:space="preserve">4.2 Limitações da Generalização e o Conceito de Transferibilidade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crítica mais frequente ao estudo de caso é a baixa generalização estatística: com um único caso, não é possível afirmar que os resultados se aplicam a outras organizações. Essa crítica é procedente, mas confunde dois tipos de generalização. O estudo de caso não busca generalização estatística (inferir de uma amostra para uma população), mas generalização analítica (usar o caso para refinar, estender ou desafiar uma teoria). As proposições confirmadas e refinadas aqui podem ser testadas em outros casos — tanto como proposições a serem investigadas quanto como hipóteses a serem levadas a um experimento ou survey.</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conceito relevante para estudos de caso qualitativos é transferibilidade (Lincoln e Guba, 1985): os resultados podem ser transferidos para outros contextos na medida em que os contextos são suficientemente similares. Cabe ao leitor — não ao pesquisador — julgar se seu contexto se assemelha o suficiente ao caso estudado para que os achados sejam relevantes. Por isso a descrição rica do contexto (setor, tamanho, histórico, estrutura) é essencial: ela permite ao leitor fazer esse julgamento.</w:t>
      </w:r>
    </w:p>
    <w:p>
      <w:pPr>
        <w:spacing w:after="80" w:before="160" w:line="240" w:lineRule="auto"/>
        <w:jc w:val="left"/>
      </w:pPr>
      <w:r>
        <w:rPr>
          <w:rFonts w:ascii="Times New Roman" w:cs="Times New Roman" w:eastAsia="Times New Roman" w:hAnsi="Times New Roman"/>
          <w:b/>
          <w:bCs/>
          <w:i/>
          <w:iCs/>
          <w:sz w:val="20"/>
          <w:szCs w:val="20"/>
        </w:rPr>
        <w:t xml:space="preserve">4.2 A Tensão entre Proposições a Priori e Abertura ao Campo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Um dos tensionamentos mais produtivos em estudos de caso é a relação entre o protocolo a priori e os dados que emergem em campo. As proposições P1–P3, derivadas da literatura, funcionaram como lentes que estruturaram a coleta e a análise inicial — sem elas, o volume de dados seria intratável. Mas ao mesmo tempo, elas poderiam ter nos tornado cegos para o que os dados estavam revelando sobre significados — se tivéssemos permanecido exclusivamente dentro do quadro teórico inicial.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movimento que permitiu RQ4 emergir foi uma decisão analítica explícita: em determinado ponto da segunda rodada de codificação, suspendemos temporariamente as proposições e relemos os dados com a pergunta 'o que mais está aqui, que ainda não nomeamos?'. Esse procedimento — descrito por alguns como momento de 'estranhamento' deliberado em relação aos próprios dados — é compatível com a tradição construtivista de resistir à imposição prematura de categorias. Ele produziu o achado mais inesperado e, possivelmente, o mais prático do estudo.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Há um risco nesse movimento: sem disciplina, a 'abertura ao campo' pode tornar-se uma desculpa para abandono do rigor analítico. A contenção desse risco veio do protocolo de codificação em dois ciclos e da verificação intercodificadores — que tornou as decisões analíticas auditáveis mesmo quando eram genuinamente exploratórias. O contraste entre as proposições a priori e o achado emergente é, em si, parte do resultado: ele mostra onde a teoria prévia era suficiente e onde ela era cega.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Esse ponto tem relevância direta para o aluno que projeta sua própria pesquisa: protocolar proposições a priori não significa fechar os olhos para o que os dados mostram além delas. Significa ter uma âncora, não uma prisão. O rigor em estudos de caso qualitativos não é o rigor do controle experimental — é o rigor da transparência sobre como as interpretações foram construídas.</w:t>
      </w:r>
    </w:p>
    <w:p>
      <w:pPr>
        <w:spacing w:after="80" w:before="160" w:line="240" w:lineRule="auto"/>
        <w:jc w:val="left"/>
      </w:pPr>
      <w:r>
        <w:rPr>
          <w:rFonts w:ascii="Times New Roman" w:cs="Times New Roman" w:eastAsia="Times New Roman" w:hAnsi="Times New Roman"/>
          <w:b/>
          <w:bCs/>
          <w:i/>
          <w:iCs/>
          <w:sz w:val="20"/>
          <w:szCs w:val="20"/>
        </w:rPr>
        <w:t xml:space="preserve">4.3 Implicações para Pesquisa Futura e para a Prática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As três proposições confirmadas ou refinadas oferecem pontos de partida para replicação em outros contextos. P1 — resistência diferenciada por tipo de prática — poderia ser investigada em organizações com diferentes estruturas de poder (startups horizontais vs. corporações tradicionais). P3 — o papel do agente interno com credibilidade técnica — poderia ser testada como hipótese em um quasi-experimento que comparasse equipes com e sem esse perfil de agente.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achado emergente de RQ4 abre uma agenda de pesquisa inteiramente nova: o estudo dos significados atribuídos à agilidade como variável explicativa de conflitos em adoções. Se diferentes grupos operam com construções incompatíveis do que significa 'ser ágil', intervenções que tratam o problema como técnico (treinamento em Scrum) podem ser insuficientes. A implicação prática é que processos de adoção ágil deveriam incluir espaços explícitos de negociação de significados — não apenas de treinamento em práticas.</w:t>
      </w:r>
    </w:p>
    <w:p>
      <w:pPr>
        <w:spacing w:after="120" w:before="240" w:line="240" w:lineRule="auto"/>
        <w:jc w:val="left"/>
      </w:pPr>
      <w:r>
        <w:rPr>
          <w:rFonts w:ascii="Times New Roman" w:cs="Times New Roman" w:eastAsia="Times New Roman" w:hAnsi="Times New Roman"/>
          <w:b/>
          <w:bCs/>
          <w:sz w:val="22"/>
          <w:szCs w:val="22"/>
        </w:rPr>
        <w:t xml:space="preserve">5. LIMITAÇÕES E AMEAÇAS À VALIDADE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Para estudos de caso qualitativos, seguimos os critérios de trustworthiness (confiabilidade qualitativa) propostos por Lincoln e Guba (1985): credibilidade, transferibilidade, dependabilidade e confirmabilidade. Esses critérios substituem os critérios positivistas de validade interna, externa, de constructo e de conclusão — que pressupõem uma realidade objetiva mensurável, premissa incompatível com o posicionamento interpretativista adotado.</w:t>
      </w:r>
    </w:p>
    <w:p>
      <w:pPr>
        <w:spacing w:after="80" w:before="160" w:line="240" w:lineRule="auto"/>
        <w:jc w:val="left"/>
      </w:pPr>
      <w:r>
        <w:rPr>
          <w:rFonts w:ascii="Times New Roman" w:cs="Times New Roman" w:eastAsia="Times New Roman" w:hAnsi="Times New Roman"/>
          <w:b/>
          <w:bCs/>
          <w:i/>
          <w:iCs/>
          <w:sz w:val="20"/>
          <w:szCs w:val="20"/>
        </w:rPr>
        <w:t xml:space="preserve">5.1 Credibilidade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credibilidade é análoga à validade interna: refere-se à correspondência entre as interpretações do pesquisador e as perspectivas dos participantes. Mitigamos ameaças à credibilidade por meio de triangulação de fontes (entrevistas + documentos + observação), verificação por múltiplos codificadores (Kappa = 0,71) e member checking parcial: as proposições preliminares foram apresentadas a dois participantes (SM1 e DT1) para verificação de plausibilidade. Ambos confirmaram as interpretações com pequenos ajustes de nuance.</w:t>
      </w:r>
    </w:p>
    <w:p>
      <w:pPr>
        <w:spacing w:after="80" w:before="160" w:line="240" w:lineRule="auto"/>
        <w:jc w:val="left"/>
      </w:pPr>
      <w:r>
        <w:rPr>
          <w:rFonts w:ascii="Times New Roman" w:cs="Times New Roman" w:eastAsia="Times New Roman" w:hAnsi="Times New Roman"/>
          <w:b/>
          <w:bCs/>
          <w:i/>
          <w:iCs/>
          <w:sz w:val="20"/>
          <w:szCs w:val="20"/>
        </w:rPr>
        <w:t xml:space="preserve">5.2 Transferibilidade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transferibilidade depende da descrição densa do contexto, que fornecemos na seção 2.4. As características específicas da AlphaTech — setor financeiro regulado, 120 funcionários, transição iniciada top-down — devem ser consideradas ao avaliar se os achados são transferíveis para outros contextos. Organizações menores, em setores não regulados, ou com transições bottom-up podem apresentar dinâmicas distintas.</w:t>
      </w:r>
    </w:p>
    <w:p>
      <w:pPr>
        <w:spacing w:after="80" w:before="160" w:line="240" w:lineRule="auto"/>
        <w:jc w:val="left"/>
      </w:pPr>
      <w:r>
        <w:rPr>
          <w:rFonts w:ascii="Times New Roman" w:cs="Times New Roman" w:eastAsia="Times New Roman" w:hAnsi="Times New Roman"/>
          <w:b/>
          <w:bCs/>
          <w:i/>
          <w:iCs/>
          <w:sz w:val="20"/>
          <w:szCs w:val="20"/>
        </w:rPr>
        <w:t xml:space="preserve">5.3 Dependabilidade e Confirmabilidade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dependabilidade (estabilidade do processo) e a confirmabilidade (auditabilidade das interpretações) foram asseguradas pelo protocolo de estudo de caso documentado a priori, pelo registro sistemático das decisões analíticas em diário de pesquisa, e pela disponibilidade dos dados brutos (transcrições anonimizadas) para auditoria por pesquisadores externos. O protocolo completo e o esquema de codificação estão disponíveis como material suplementar.</w:t>
      </w:r>
    </w:p>
    <w:p>
      <w:pPr>
        <w:spacing w:after="80" w:before="160" w:line="240" w:lineRule="auto"/>
        <w:jc w:val="left"/>
      </w:pPr>
      <w:r>
        <w:rPr>
          <w:rFonts w:ascii="Times New Roman" w:cs="Times New Roman" w:eastAsia="Times New Roman" w:hAnsi="Times New Roman"/>
          <w:b/>
          <w:bCs/>
          <w:i/>
          <w:iCs/>
          <w:sz w:val="20"/>
          <w:szCs w:val="20"/>
        </w:rPr>
        <w:t xml:space="preserve">5.4 Risco de Viés do Pesquisador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pesquisadora principal tinha experiência prévia em consultoria de adoção ágil, o que representa risco de viés confirmatório — a tendência de interpretar os dados de forma consistente com experiências anteriores. Esse risco foi mitigado pela participação do segundo pesquisador no processo de codificação e pela análise explícita dos dados que contrariavam as proposições (como a inversão em P2). Registramos no diário de pesquisa os momentos em que os dados surpreenderam as expectativas iniciais.</w:t>
      </w:r>
    </w:p>
    <w:p>
      <w:pPr>
        <w:spacing w:after="120" w:before="240" w:line="240" w:lineRule="auto"/>
        <w:jc w:val="left"/>
      </w:pPr>
      <w:r>
        <w:rPr>
          <w:rFonts w:ascii="Times New Roman" w:cs="Times New Roman" w:eastAsia="Times New Roman" w:hAnsi="Times New Roman"/>
          <w:b/>
          <w:bCs/>
          <w:sz w:val="22"/>
          <w:szCs w:val="22"/>
        </w:rPr>
        <w:t xml:space="preserve">6. CONCLUSÃO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Este estudo de caso investigou como e por que uma empresa financeira de médio porte transitou para práticas ágeis ao longo de 18 meses, combinando uma lógica explanatória (proposições a priori testadas contra evidências) com um movimento construtivista (questão emergente sem proposição prévia). Os resultados das proposições confirmadas e refinadas revelam que: (P1) a resistência à adoção é diferenciada por tipo de prática — maior nas que redistribuem poder de decisão; (P2) a tensão entre agilidade e compliance foi resolvida por adaptações híbridas emergentes, com resistência vinda inesperadamente da área de compliance; e (P3) agentes internos de mudança com credibilidade técnica foram mais efetivos do que agentes externos com autoridade formal.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achado emergente de RQ4 revelou que diferentes grupos de atores constroem o significado de 'agilidade' de formas radicalmente distintas — velocidade, autonomia, controle processual ou identidade profissional — e que essa fragmentação de sentido pode ser uma fonte subestimada de conflitos em adoções ágeis. Esse resultado não poderia ter sido antecipado nas proposições a priori; ele é um produto da abertura construtivista ao que os dados revelam além do quadro teórico inicial.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estudo contribui com proposições refinadas para pesquisas futuras e com uma agenda emergente sobre a dimensão hermenêutica da adoção ágil. As limitações de caso único recomendam cautela na generalização; a riqueza descritiva do contexto oferece base para transferibilidade informada a outros casos com características semelhantes.</w:t>
      </w:r>
    </w:p>
    <w:p>
      <w:pPr>
        <w:pBdr>
          <w:bottom w:val="single" w:color="333333" w:sz="6" w:space="1"/>
        </w:pBdr>
        <w:spacing w:after="120" w:before="120"/>
      </w:pPr>
      <w:r>
        <w:t xml:space="preserve"/>
      </w:r>
    </w:p>
    <w:p>
      <w:pPr>
        <w:spacing w:after="120" w:before="120"/>
        <w:jc w:val="left"/>
      </w:pPr>
      <w:r>
        <w:rPr>
          <w:rFonts w:ascii="Times New Roman" w:cs="Times New Roman" w:eastAsia="Times New Roman" w:hAnsi="Times New Roman"/>
          <w:b/>
          <w:bCs/>
          <w:sz w:val="22"/>
          <w:szCs w:val="22"/>
        </w:rPr>
        <w:t xml:space="preserve">Perguntas para Reflexão sobre o Método</w:t>
      </w:r>
    </w:p>
    <w:p>
      <w:pPr>
        <w:spacing w:after="120" w:before="0" w:line="240" w:lineRule="auto"/>
        <w:jc w:val="both"/>
      </w:pPr>
      <w:r>
        <w:rPr>
          <w:rFonts w:ascii="Times New Roman" w:cs="Times New Roman" w:eastAsia="Times New Roman" w:hAnsi="Times New Roman"/>
          <w:b w:val="false"/>
          <w:bCs w:val="false"/>
          <w:i/>
          <w:iCs/>
          <w:sz w:val="18"/>
          <w:szCs w:val="18"/>
        </w:rPr>
        <w:t xml:space="preserve">As perguntas a seguir têm como objetivo apoiar a discussão em sala sobre as escolhas e características do método estudo de caso conforme exemplificado neste artigo.</w:t>
      </w:r>
    </w:p>
    <w:p>
      <w:pPr>
        <w:spacing w:after="0" w:before="60"/>
      </w:pPr>
      <w:r>
        <w:t xml:space="preserve"/>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As questões de pesquisa RQ1–RQ3 foram formuladas antes de entrar em campo; RQ4 emergiu durante a análise. Qual é a diferença prática entre esses dois tipos de questão? O que torna uma RQ emergente legítima em um estudo de caso, e quando ela seria um problema (por exemplo, sinal de que o pesquisador estava procurando o que queria encontrar)?</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descreve dois posicionamentos filosóficos operando no mesmo estudo: algo próximo do realismo crítico para RQ1–RQ3, e construtivismo para RQ4. Você consegue identificar nos resultados onde essa diferença aparece? O que muda na forma de apresentar os achados de RQ4 em comparação com P1, P2 e P3?</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Na seção 3.4, quatro grupos de atores constroem 'agilidade' de formas diferentes. O GM1 diz que ágil resolveu o problema de previsibilidade; o SM2 diz que ágil é uma mentalidade. Eles estão em conflito, ou podem estar os dois certos ao mesmo tempo? O que a perspectiva construtivista diz sobre quem tem razão aqui?</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 Proposição 2 foi 'parcialmente confirmada com refinamento' porque o compliance resistiu mais do que os desenvolvedores — o oposto do esperado. Como isso se compara com o que aconteceria num experimento que encontrasse resultado oposto à hipótese? O que cada método faz com a surpresa?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usa citações diretas de participantes com códigos (D2, GM1, SM2). Leia as falas de GM4 e SM2 na seção 3.4. Elas dizem coisas muito diferentes sobre o que é uma reunião de planejamento de sprint. Como o pesquisador decide qual das duas perspectivas é 'mais verdadeira'? Deve decidir?</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'pacote de conformidade' descrito na seção 3.2 emergiu de forma bottom-up, liderado pelo Scrum Master. O artigo descreve isso como solução. Mas um pesquisador crítico poderia perguntar: essa solução beneficia a quem? Ela realmente resolve a tensão ou apenas a gerencia em favor de quem tem mais poder? Que tipo de dado adicional seria necessário para responder isso?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Compare o que você leu neste artigo com os dois anteriores. Após ler os três, você consegue descrever em suas palavras: que tipo de problema de pesquisa do seu próprio campo seria melhor investigado por survey, experimento ou estudo de caso?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termina sugerindo que conflitos em adoções ágeis podem ser 'conflitos de construção de sentido'. Isso é uma afirmação empírica sustentada pelos dados, uma interpretação plausível, ou uma especulação? O que diferencia esses três níveis de afirmação em um artigo científico?</w:t>
      </w:r>
    </w:p>
    <w:p>
      <w:pPr>
        <w:pBdr>
          <w:bottom w:val="single" w:color="333333" w:sz="6" w:space="1"/>
        </w:pBdr>
        <w:spacing w:after="120" w:before="120"/>
      </w:pPr>
      <w:r>
        <w:t xml:space="preserve"/>
      </w:r>
    </w:p>
    <w:p>
      <w:pPr>
        <w:spacing w:after="80" w:before="120"/>
        <w:jc w:val="left"/>
      </w:pPr>
      <w:r>
        <w:rPr>
          <w:rFonts w:ascii="Times New Roman" w:cs="Times New Roman" w:eastAsia="Times New Roman" w:hAnsi="Times New Roman"/>
          <w:b/>
          <w:bCs/>
          <w:sz w:val="22"/>
          <w:szCs w:val="22"/>
        </w:rPr>
        <w:t xml:space="preserve">Anexo A – Guia de Referência do Método: Estudo de Caso</w:t>
      </w:r>
    </w:p>
    <w:p>
      <w:pPr>
        <w:spacing w:after="120" w:before="0" w:line="240" w:lineRule="auto"/>
        <w:jc w:val="both"/>
      </w:pPr>
      <w:r>
        <w:rPr>
          <w:rFonts w:ascii="Times New Roman" w:cs="Times New Roman" w:eastAsia="Times New Roman" w:hAnsi="Times New Roman"/>
          <w:b w:val="false"/>
          <w:bCs w:val="false"/>
          <w:i/>
          <w:iCs/>
          <w:sz w:val="18"/>
          <w:szCs w:val="18"/>
        </w:rPr>
        <w:t xml:space="preserve">Este anexo resume as características essenciais do método estudo de caso em Engenharia de Software, baseado no ACM SIGSOFT Empirical Standard for Case Studies (Ralph et al., 2020), Yin (2015) e Runeson e Höst (2009).</w:t>
      </w:r>
    </w:p>
    <w:p>
      <w:pPr>
        <w:spacing w:after="0" w:before="60"/>
      </w:pPr>
      <w:r>
        <w:t xml:space="preserve"/>
      </w:r>
    </w:p>
    <w:p>
      <w:pPr>
        <w:spacing w:after="40" w:before="80"/>
      </w:pPr>
      <w:r>
        <w:rPr>
          <w:rFonts w:ascii="Times New Roman" w:cs="Times New Roman" w:eastAsia="Times New Roman" w:hAnsi="Times New Roman"/>
          <w:b/>
          <w:bCs/>
          <w:sz w:val="20"/>
          <w:szCs w:val="20"/>
        </w:rPr>
        <w:t xml:space="preserve">O que é o Estudo de Caso?</w:t>
      </w:r>
    </w:p>
    <w:p>
      <w:pPr>
        <w:spacing w:after="120" w:before="0" w:line="240" w:lineRule="auto"/>
        <w:jc w:val="both"/>
      </w:pPr>
      <w:r>
        <w:rPr>
          <w:rFonts w:ascii="Times New Roman" w:cs="Times New Roman" w:eastAsia="Times New Roman" w:hAnsi="Times New Roman"/>
          <w:b w:val="false"/>
          <w:bCs w:val="false"/>
          <w:i w:val="false"/>
          <w:iCs w:val="false"/>
          <w:sz w:val="18"/>
          <w:szCs w:val="18"/>
        </w:rPr>
        <w:t xml:space="preserve">Uma investigação empírica que estuda um fenômeno contemporâneo em seu contexto real, especialmente quando as fronteiras entre fenômeno e contexto não são claramente evidentes (Yin, 2015). Diferentemente do experimento, o pesquisador não manipula variáveis; diferentemente do survey, o foco é na profundidade, não na abrangência.</w:t>
      </w:r>
    </w:p>
    <w:p>
      <w:pPr>
        <w:spacing w:after="0" w:before="40"/>
      </w:pPr>
      <w:r>
        <w:t xml:space="preserve"/>
      </w:r>
    </w:p>
    <w:p>
      <w:pPr>
        <w:spacing w:after="40" w:before="80"/>
      </w:pPr>
      <w:r>
        <w:rPr>
          <w:rFonts w:ascii="Times New Roman" w:cs="Times New Roman" w:eastAsia="Times New Roman" w:hAnsi="Times New Roman"/>
          <w:b/>
          <w:bCs/>
          <w:sz w:val="20"/>
          <w:szCs w:val="20"/>
        </w:rPr>
        <w:t xml:space="preserve">Tipos de Estudo de Caso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7075"/>
      </w:tblGrid>
      <w:tr>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Tipo</w:t>
            </w:r>
          </w:p>
        </w:tc>
        <w:tc>
          <w:tcPr>
            <w:tcW w:type="dxa" w:w="7075"/>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Descrição e uso</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Exploratório</w:t>
            </w:r>
          </w:p>
        </w:tc>
        <w:tc>
          <w:tcPr>
            <w:tcW w:type="dxa" w:w="70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Fenômeno pouco compreendido; objetivo é gerar hipóteses e proposições para estudos futuros</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Descritivo</w:t>
            </w:r>
          </w:p>
        </w:tc>
        <w:tc>
          <w:tcPr>
            <w:tcW w:type="dxa" w:w="70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Descrever o fenômeno em detalhes ricos; sem explicação causal</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Explanatório</w:t>
            </w:r>
          </w:p>
        </w:tc>
        <w:tc>
          <w:tcPr>
            <w:tcW w:type="dxa" w:w="70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Explicar como e por que o fenômeno ocorre; testar ou refinar proposições teóricas</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Único</w:t>
            </w:r>
          </w:p>
        </w:tc>
        <w:tc>
          <w:tcPr>
            <w:tcW w:type="dxa" w:w="70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Um caso crítico, revelador ou extremo que justifica análise aprofundada</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Múltiplos</w:t>
            </w:r>
          </w:p>
        </w:tc>
        <w:tc>
          <w:tcPr>
            <w:tcW w:type="dxa" w:w="70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Replicação lógica entre casos para fortalecer (ou desafiar) proposições</w:t>
            </w:r>
          </w:p>
        </w:tc>
      </w:tr>
    </w:tbl>
    <w:p>
      <w:pPr>
        <w:spacing w:after="0" w:before="80"/>
      </w:pPr>
      <w:r>
        <w:t xml:space="preserve"/>
      </w:r>
    </w:p>
    <w:p>
      <w:pPr>
        <w:spacing w:after="40" w:before="80"/>
      </w:pPr>
      <w:r>
        <w:rPr>
          <w:rFonts w:ascii="Times New Roman" w:cs="Times New Roman" w:eastAsia="Times New Roman" w:hAnsi="Times New Roman"/>
          <w:b/>
          <w:bCs/>
          <w:sz w:val="20"/>
          <w:szCs w:val="20"/>
        </w:rPr>
        <w:t xml:space="preserve">Quando Usar e Quando Não Usar o Estudo de Caso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USE o Estudo de Caso quando...</w:t>
            </w:r>
          </w:p>
        </w:tc>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NÃO USE quando...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pergunta é 'como?' ou 'por quê?'</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pergunta é 'quantos?' ou 'com que frequência?' (use survey)</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contexto é parte constitutiva do fenômeno</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pode ser isolado do contexto sem perda de sentido (use experimento)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quer explicar mecanismos e processos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quer estabelecer causalidade com controle (use experimento controlado)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tem acesso privilegiado a um caso rico e relevante</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precisa de resultados generalizáveis estatisticamente para uma população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envolve atores, percepções e dinâmicas sociais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é predominantemente técnico e pode ser replicado em laboratório</w:t>
            </w:r>
          </w:p>
        </w:tc>
      </w:tr>
    </w:tbl>
    <w:p>
      <w:pPr>
        <w:spacing w:after="0" w:before="80"/>
      </w:pPr>
      <w:r>
        <w:t xml:space="preserve"/>
      </w:r>
    </w:p>
    <w:p>
      <w:pPr>
        <w:spacing w:after="40" w:before="80"/>
      </w:pPr>
      <w:r>
        <w:rPr>
          <w:rFonts w:ascii="Times New Roman" w:cs="Times New Roman" w:eastAsia="Times New Roman" w:hAnsi="Times New Roman"/>
          <w:b/>
          <w:bCs/>
          <w:sz w:val="20"/>
          <w:szCs w:val="20"/>
        </w:rPr>
        <w:t xml:space="preserve">Antipadrões Comuns em Estudos de Caso em ES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Chamar de 'estudo de caso' qualquer relato de experiência sem protocolo sistemático de coleta e análise</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Apresentar apenas evidências que confirmam as proposições, ignorando dados contraditórios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Não descrever o contexto com riqueza suficiente para que o leitor avalie transferibilidade</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Usar um único método de coleta de dados em vez de triangular múltiplas fontes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Generalizar os resultados para além do que o caso permite sem replicações adicionais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Aplicar critérios positivistas de validade (validade interna, generalização estatística) a estudos interpretativistas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Confundir estudo de caso com relato de projeto — o foco deve ser o fenômeno, não a tecnologia desenvolvida</w:t>
      </w:r>
    </w:p>
    <w:p>
      <w:pPr>
        <w:spacing w:after="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REFERÊNCIAS</w:t>
      </w:r>
    </w:p>
    <w:p>
      <w:pPr>
        <w:spacing w:after="80" w:before="0" w:line="240" w:lineRule="auto"/>
        <w:ind w:left="720" w:hanging="720"/>
        <w:jc w:val="both"/>
      </w:pPr>
      <w:r>
        <w:rPr>
          <w:rFonts w:ascii="Times New Roman" w:cs="Times New Roman" w:eastAsia="Times New Roman" w:hAnsi="Times New Roman"/>
          <w:sz w:val="18"/>
          <w:szCs w:val="18"/>
        </w:rPr>
        <w:t xml:space="preserve">Braun, V. e Clarke, V. (2006). Using thematic analysis in psychology. Qualitative Research in Psychology, 3(2), 77–101.</w:t>
      </w:r>
    </w:p>
    <w:p>
      <w:pPr>
        <w:spacing w:after="80" w:before="0" w:line="240" w:lineRule="auto"/>
        <w:ind w:left="720" w:hanging="720"/>
        <w:jc w:val="both"/>
      </w:pPr>
      <w:r>
        <w:rPr>
          <w:rFonts w:ascii="Times New Roman" w:cs="Times New Roman" w:eastAsia="Times New Roman" w:hAnsi="Times New Roman"/>
          <w:sz w:val="18"/>
          <w:szCs w:val="18"/>
        </w:rPr>
        <w:t xml:space="preserve">Cruzes, D. S. e Dybå, T. (2011). A synthesized taxonomy of design decisions in empirical software engineering. Information and Software Technology, 53(6), 585–599.</w:t>
      </w:r>
    </w:p>
    <w:p>
      <w:pPr>
        <w:spacing w:after="80" w:before="0" w:line="240" w:lineRule="auto"/>
        <w:ind w:left="720" w:hanging="720"/>
        <w:jc w:val="both"/>
      </w:pPr>
      <w:r>
        <w:rPr>
          <w:rFonts w:ascii="Times New Roman" w:cs="Times New Roman" w:eastAsia="Times New Roman" w:hAnsi="Times New Roman"/>
          <w:sz w:val="18"/>
          <w:szCs w:val="18"/>
        </w:rPr>
        <w:t xml:space="preserve">Lincoln, Y. S. e Guba, E. G. (1985). Naturalistic Inquiry. Sage Publications.</w:t>
      </w:r>
    </w:p>
    <w:p>
      <w:pPr>
        <w:spacing w:after="80" w:before="0" w:line="240" w:lineRule="auto"/>
        <w:ind w:left="720" w:hanging="720"/>
        <w:jc w:val="both"/>
      </w:pPr>
      <w:r>
        <w:rPr>
          <w:rFonts w:ascii="Times New Roman" w:cs="Times New Roman" w:eastAsia="Times New Roman" w:hAnsi="Times New Roman"/>
          <w:sz w:val="18"/>
          <w:szCs w:val="18"/>
        </w:rPr>
        <w:t xml:space="preserve">Ralph, P. et al. (2020). Empirical Standards for Software Engineering Research. arXiv:2010.03525.</w:t>
      </w:r>
    </w:p>
    <w:p>
      <w:pPr>
        <w:spacing w:after="80" w:before="0" w:line="240" w:lineRule="auto"/>
        <w:ind w:left="720" w:hanging="720"/>
        <w:jc w:val="both"/>
      </w:pPr>
      <w:r>
        <w:rPr>
          <w:rFonts w:ascii="Times New Roman" w:cs="Times New Roman" w:eastAsia="Times New Roman" w:hAnsi="Times New Roman"/>
          <w:sz w:val="18"/>
          <w:szCs w:val="18"/>
        </w:rPr>
        <w:t xml:space="preserve">Runeson, P. e Höst, M. (2009). Guidelines for conducting and reporting case study research in software engineering. Empirical Software Engineering, 14(2), 131–164.</w:t>
      </w:r>
    </w:p>
    <w:p>
      <w:pPr>
        <w:spacing w:after="80" w:before="0" w:line="240" w:lineRule="auto"/>
        <w:ind w:left="720" w:hanging="720"/>
        <w:jc w:val="both"/>
      </w:pPr>
      <w:r>
        <w:rPr>
          <w:rFonts w:ascii="Times New Roman" w:cs="Times New Roman" w:eastAsia="Times New Roman" w:hAnsi="Times New Roman"/>
          <w:sz w:val="18"/>
          <w:szCs w:val="18"/>
        </w:rPr>
        <w:t xml:space="preserve">Yin, R. K. (2015). Estudo de Caso: Planejamento e Métodos. 5ª ed. Bookman.</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2026-06-14T18:44:27.232Z</dcterms:created>
  <dcterms:modified xsi:type="dcterms:W3CDTF">2026-06-14T18:44:27.244Z</dcterms:modified>
</cp:coreProperties>
</file>

<file path=docProps/custom.xml><?xml version="1.0" encoding="utf-8"?>
<Properties xmlns="http://schemas.openxmlformats.org/officeDocument/2006/custom-properties" xmlns:vt="http://schemas.openxmlformats.org/officeDocument/2006/docPropsVTypes"/>
</file>