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'O Modelo Sempre Responde': Uma Etnografia do Uso de Modelos de Linguagem no Cotidiano de Equipes de Desenvolvimento de Software</w:t>
      </w:r>
    </w:p>
    <w:p>
      <w:pPr>
        <w:spacing w:after="80" w:before="0"/>
        <w:jc w:val="center"/>
      </w:pPr>
      <w:r>
        <w:rPr>
          <w:rFonts w:ascii="Times New Roman" w:cs="Times New Roman" w:eastAsia="Times New Roman" w:hAnsi="Times New Roman"/>
          <w:sz w:val="22"/>
          <w:szCs w:val="22"/>
        </w:rPr>
        <w:t xml:space="preserve">Patrícia Nóbrega Assunção¹</w:t>
      </w:r>
    </w:p>
    <w:p>
      <w:pPr>
        <w:spacing w:after="40" w:before="0"/>
        <w:jc w:val="center"/>
      </w:pPr>
      <w:r>
        <w:rPr>
          <w:rFonts w:ascii="Times New Roman" w:cs="Times New Roman" w:eastAsia="Times New Roman" w:hAnsi="Times New Roman"/>
          <w:i/>
          <w:iCs/>
          <w:sz w:val="18"/>
          <w:szCs w:val="18"/>
        </w:rPr>
        <w:t xml:space="preserve">¹Programa de Pós-Graduação em Ciência da Computação – Universidade E</w:t>
      </w:r>
    </w:p>
    <w:p>
      <w:pPr>
        <w:spacing w:after="160" w:before="0"/>
        <w:jc w:val="center"/>
      </w:pPr>
      <w:r>
        <w:rPr>
          <w:rFonts w:ascii="Times New Roman" w:cs="Times New Roman" w:eastAsia="Times New Roman" w:hAnsi="Times New Roman"/>
          <w:sz w:val="18"/>
          <w:szCs w:val="18"/>
        </w:rPr>
        <w:t xml:space="preserve">p.nobrega@univ-e.br</w:t>
      </w:r>
    </w:p>
    <w:p>
      <w:pPr>
        <w:pBdr>
          <w:bottom w:val="single" w:color="333333" w:sz="6" w:space="1"/>
        </w:pBdr>
        <w:spacing w:after="120" w:before="120"/>
      </w:pPr>
      <w:r>
        <w:t xml:space="preserve"/>
      </w:r>
    </w:p>
    <w:p>
      <w:pPr>
        <w:spacing w:after="80" w:before="0" w:line="240" w:lineRule="auto"/>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reporta uma etnografia realizada ao longo de seis meses junto a três equipes de desenvolvimento de software em uma empresa de médio porte, com o objetivo de compreender como desenvolvedores integram modelos de linguagem de grande escala (LLMs) em suas práticas cotidianas de trabalho. Ao contrário de estudos experimentais ou surveys que medem o impacto dos LLMs em tarefas isoladas, este estudo buscou entender os significados, rituais, tensões e improvisações que emergem quando uma ferramenta radicalmente nova é introduzida em um ambiente de trabalho com sua cultura e história próprias. Os dados foram gerados por observação participante de 312 horas, 21 entrevistas em profundidade e análise de artefatos digitais (históricos de chat, comentários de código, tickets). A análise produziu quatro temas centrais que descrevem a prática culturalmente situada do uso de LLMs em desenvolvimento. Este artigo foi construído com apoio de um modelo de linguagem de grande escala (LLM) com o objetivo de exemplificar as características do método etnográfico para fins didáticos em cursos de pós-graduação em Computação.</w:t>
      </w:r>
    </w:p>
    <w:p>
      <w:pPr>
        <w:spacing w:after="160" w:before="0" w:line="240" w:lineRule="auto"/>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Etnografia; Modelos de Linguagem; LLM; Práticas de Desenvolvimento; Cultura de Software.</w:t>
      </w:r>
    </w:p>
    <w:p>
      <w:pPr>
        <w:pBdr>
          <w:bottom w:val="single" w:color="333333" w:sz="6" w:space="1"/>
        </w:pBdr>
        <w:spacing w:after="12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1. INTRODUÇÃO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Quando cheguei pela primeira vez ao escritório da VertexCode em uma segunda-feira de abril, a primeira coisa que notei foi a onipresença das abas do ChatGPT e do GitHub Copilot nas telas dos desenvolvedores. Algumas janelas estavam abertas ao lado de editores de código; outras ocupavam monitores inteiros. Alguns desenvolvedores digitavam perguntas longas e elaboradas; outros copiavam e colavam erros diretamente do terminal. Uma desenvolvedora usava o modelo para escrever um e-mail para um cliente. Outro pedia sugestões de nome para uma variável.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Esta abertura em primeira pessoa não é retórica. Ela sinaliza o posicionamento metodológico deste estudo: a pesquisadora está no texto, porque ela estava no campo. A etnografia não produz um relatório objetivo sobre 'o que os desenvolvedores fazem com LLMs' — ela produz uma interpretação situada, parcial e reflexiva de como uma comunidade de prática constrói sentido em torno de uma ferramenta nova. Esse posicionamento é incompatível com a pretensão de neutralidade e é deliberado.</w:t>
      </w:r>
    </w:p>
    <w:p>
      <w:pPr>
        <w:spacing w:after="120" w:before="0" w:line="240" w:lineRule="auto"/>
        <w:jc w:val="both"/>
      </w:pPr>
      <w:r>
        <w:rPr>
          <w:rFonts w:ascii="Times New Roman" w:cs="Times New Roman" w:eastAsia="Times New Roman" w:hAnsi="Times New Roman"/>
          <w:b w:val="false"/>
          <w:bCs w:val="false"/>
          <w:i/>
          <w:iCs/>
          <w:sz w:val="18"/>
          <w:szCs w:val="18"/>
        </w:rPr>
        <w:t xml:space="preserve">Nota sobre este artigo: Este texto foi construído com apoio de um modelo de linguagem de grande escala (LLM) com propósito exclusivamente didático. Os participantes, a organização e os dados são fictícios. O objetivo é ilustrar as características do método etnográfico — especialmente a textura das notas de campo, a reflexividade do pesquisador e a forma como os temas emergem da imersão prolongada — para leitores que estão conhecendo o método pela primeira vez.</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Experimentos controlados com LLMs abundam na literatura recente: comparam a produtividade de desenvolvedores com e sem assistência de LLM em tarefas de codificação cronometradas. Surveys mapeiam a adoção e as percepções. O que ainda sabemos pouco é como os LLMs se encaixam — ou perturbam — o tecido cotidiano do trabalho de desenvolvimento: os rituais informais de consulta, as negociações de confiança, as improvisações quando o modelo 'alucina', os significados que os desenvolvedores atribuem à ferramenta e a si mesmos em relação a ela. Essas perguntas não cabem em laboratório.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questão central que orienta este estudo é:</w:t>
      </w:r>
    </w:p>
    <w:p>
      <w:pPr>
        <w:spacing w:after="0" w:before="40"/>
      </w:pPr>
      <w:r>
        <w:t xml:space="preserve"/>
      </w:r>
    </w:p>
    <w:p>
      <w:pPr>
        <w:shd w:fill="EBF5FB" w:val="clear"/>
        <w:spacing w:after="40" w:before="40" w:line="240" w:lineRule="auto"/>
        <w:ind w:left="360" w:right="360"/>
        <w:jc w:val="both"/>
      </w:pPr>
      <w:r>
        <w:rPr>
          <w:rFonts w:ascii="Times New Roman" w:cs="Times New Roman" w:eastAsia="Times New Roman" w:hAnsi="Times New Roman"/>
          <w:sz w:val="20"/>
          <w:szCs w:val="20"/>
        </w:rPr>
        <w:t xml:space="preserve">RQ: Como desenvolvedores de software integram modelos de linguagem de grande escala em suas práticas cotidianas de trabalho, e que significados culturais emergem em torno desse uso?</w:t>
      </w:r>
    </w:p>
    <w:p>
      <w:pPr>
        <w:spacing w:after="0" w:before="8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Note que a RQ não pergunta 'quanto' nem 'por que X causa Y' — ela pergunta 'como' e 'que significados'. Essa formulação não é vaga: ela é coerente com a natureza do método. A etnografia não testa hipóteses; ela descreve e interpreta práticas culturais em sua complexidade situada. Uma RQ do tipo 'LLMs aumentam a produtividade?' levaria a um experimento. Uma RQ do tipo 'com que frequência os desenvolvedores usam LLMs?' levaria a um survey. A pergunta etnográfica é sobre significado, prática e cultura.</w:t>
      </w:r>
    </w:p>
    <w:p>
      <w:pPr>
        <w:spacing w:after="120" w:before="240" w:line="240" w:lineRule="auto"/>
        <w:jc w:val="left"/>
      </w:pPr>
      <w:r>
        <w:rPr>
          <w:rFonts w:ascii="Times New Roman" w:cs="Times New Roman" w:eastAsia="Times New Roman" w:hAnsi="Times New Roman"/>
          <w:b/>
          <w:bCs/>
          <w:sz w:val="22"/>
          <w:szCs w:val="22"/>
        </w:rPr>
        <w:t xml:space="preserve">2. MÉTODO</w:t>
      </w:r>
    </w:p>
    <w:p>
      <w:pPr>
        <w:spacing w:after="80" w:before="160" w:line="240" w:lineRule="auto"/>
        <w:jc w:val="left"/>
      </w:pPr>
      <w:r>
        <w:rPr>
          <w:rFonts w:ascii="Times New Roman" w:cs="Times New Roman" w:eastAsia="Times New Roman" w:hAnsi="Times New Roman"/>
          <w:b/>
          <w:bCs/>
          <w:i/>
          <w:iCs/>
          <w:sz w:val="20"/>
          <w:szCs w:val="20"/>
        </w:rPr>
        <w:t xml:space="preserve">2.1 Posicionamento Filosófico: Etnografia como Encontro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etnografia tem raízes na antropologia social do início do século XX, quando pesquisadores como Bronisław Malinowski passaram períodos prolongados em comunidades distantes, procurando compreender culturas a partir de dentro — não de fora, não de cima. Sua premissa central é que práticas culturais só fazem sentido quando observadas no contexto em que ocorrem, com a densidade temporal necessária para que o observador deixe de ser estrangeiro e comece a enxergar o que os membros da comunidade dão como óbvio.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Filosoficamente, este estudo adota um posicionamento construtivista-interpretativista com influências da fenomenologia social (Berger e Luckmann, 1966): os significados em torno dos LLMs não existem independentemente dos desenvolvedores que os constroem no cotidiano de suas interações com a ferramenta, com os colegas e com as demandas do trabalho. Não há 'forma correta' de usar um LLM que o pesquisador possa mensurar; há formas situadas, locais, que fazem sentido dentro de uma cultura específica.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posicionamento tem uma implicação central: o pesquisador não é um instrumento de medição neutro. Sua presença no campo altera o campo; suas categorias analíticas moldam o que ele consegue ver. Por isso a reflexividade — a reflexão explícita sobre o posicionamento do pesquisador e seus efeitos sobre os dados — é um requisito metodológico, não um pedido de desculpas.</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Nota de reflexividade: </w:t>
      </w:r>
      <w:r>
        <w:rPr>
          <w:rFonts w:ascii="Times New Roman" w:cs="Times New Roman" w:eastAsia="Times New Roman" w:hAnsi="Times New Roman"/>
          <w:sz w:val="18"/>
          <w:szCs w:val="18"/>
        </w:rPr>
        <w:t xml:space="preserve">Sou pesquisadora de IHC com experiência prévia em desenvolvimento de software. Isso me deu acesso rápido à linguagem técnica da comunidade, mas também me predispôs a certas interpretações. Registrei no diário de campo os momentos em que reconhecia em mim mesma a tendência de interpretar o comportamento dos desenvolvedores à luz da minha própria experiência — especialmente nos casos em que discordava das práticas observadas. Esse registro foi usado na análise para identificar onde minha perspectiva poderia estar distorcendo a interpretação.</w:t>
      </w:r>
    </w:p>
    <w:p>
      <w:pPr>
        <w:spacing w:after="80" w:before="160" w:line="240" w:lineRule="auto"/>
        <w:jc w:val="left"/>
      </w:pPr>
      <w:r>
        <w:rPr>
          <w:rFonts w:ascii="Times New Roman" w:cs="Times New Roman" w:eastAsia="Times New Roman" w:hAnsi="Times New Roman"/>
          <w:b/>
          <w:bCs/>
          <w:i/>
          <w:iCs/>
          <w:sz w:val="20"/>
          <w:szCs w:val="20"/>
        </w:rPr>
        <w:t xml:space="preserve">2.2 A Distinção entre Etnografia e Estudo de Caso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Uma confusão frequente em ES é tratar etnografia e estudo de caso como sinônimos ou variantes do mesmo método. Há sobreposição — ambos envolvem observação em contexto natural, dados qualitativos e análise interpretativa — mas as diferenças são substanciais e importam para o desenho da pesquisa.</w:t>
      </w:r>
    </w:p>
    <w:p>
      <w:pPr>
        <w:spacing w:after="60" w:before="120"/>
        <w:jc w:val="center"/>
      </w:pPr>
      <w:r>
        <w:rPr>
          <w:rFonts w:ascii="Times New Roman" w:cs="Times New Roman" w:eastAsia="Times New Roman" w:hAnsi="Times New Roman"/>
          <w:b/>
          <w:bCs/>
          <w:sz w:val="18"/>
          <w:szCs w:val="18"/>
        </w:rPr>
        <w:t xml:space="preserve">Tabela 1. Etnografia versus Estudo de Caso Qualitativo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3266"/>
        <w:gridCol w:w="3266"/>
      </w:tblGrid>
      <w:tr>
        <w:tc>
          <w:tcPr>
            <w:tcW w:type="dxa" w:w="254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Dimensão</w:t>
            </w:r>
          </w:p>
        </w:tc>
        <w:tc>
          <w:tcPr>
            <w:tcW w:type="dxa" w:w="326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Etnografia</w:t>
            </w:r>
          </w:p>
        </w:tc>
        <w:tc>
          <w:tcPr>
            <w:tcW w:type="dxa" w:w="326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Estudo de Caso</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Foco principal</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Cultura, práticas e significados de uma comunidade</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Fenômeno contemporâneo em contexto — pode incluir processos, eventos, decisões</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Duração</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Prolongada (meses a anos); imersão necessária</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Variável; pode ser breve se o fenômeno for discreto</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Posição do pesquisador</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Participante ou observador participante; parte do campo</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Externo ao fenômeno; pode interagir mas não se torna membro</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Unidade de análise</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comunidade/cultura; práticas situadas</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caso (org., projeto, equipe, evento)</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Resultado típico</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Descrição densa; temas culturais; teoria local</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Proposições testadas; cadeia de evidências</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Proposições a priori</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Ausentes ou muito abertas; teoria emerge do campo</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Frequentes; funcionam como lentes analíticas</w:t>
            </w:r>
          </w:p>
        </w:tc>
      </w:tr>
      <w:tr>
        <w:tc>
          <w:tcPr>
            <w:tcW w:type="dxa" w:w="25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Reflexividade</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Central e explícita; parte do método</w:t>
            </w:r>
          </w:p>
        </w:tc>
        <w:tc>
          <w:tcPr>
            <w:tcW w:type="dxa" w:w="326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Importante mas menos central; viés do pesquisador como ameaça</w:t>
            </w:r>
          </w:p>
        </w:tc>
      </w:tr>
    </w:tbl>
    <w:p>
      <w:pPr>
        <w:spacing w:after="0" w:before="60"/>
      </w:pPr>
      <w:r>
        <w:t xml:space="preserve"/>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distinção prática mais importante para o desenho deste estudo: um estudo de caso sobre o uso de LLMs poderia ter sido conduzido com um protocolo fixo, proposições derivadas da literatura e visitas pontuais ao campo para coleta de dados. A etnografia exigiu presença contínua de seis meses — porque práticas culturais não se revelam em visitas; elas se revelam no acúmulo de dias ordinários, nas interações casuais, nas situações que o protocolo não antecipou.</w:t>
      </w:r>
    </w:p>
    <w:p>
      <w:pPr>
        <w:spacing w:after="80" w:before="160" w:line="240" w:lineRule="auto"/>
        <w:jc w:val="left"/>
      </w:pPr>
      <w:r>
        <w:rPr>
          <w:rFonts w:ascii="Times New Roman" w:cs="Times New Roman" w:eastAsia="Times New Roman" w:hAnsi="Times New Roman"/>
          <w:b/>
          <w:bCs/>
          <w:i/>
          <w:iCs/>
          <w:sz w:val="20"/>
          <w:szCs w:val="20"/>
        </w:rPr>
        <w:t xml:space="preserve">2.3 Acesso ao Campo e Negociação do Papel da Pesquisadora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acesso à VertexCode foi negociado ao longo de três meses. A empresa, uma startup de médio porte com 85 funcionários no setor de SaaS para RH, foi selecionada por dois critérios: (a) tinha adotado LLMs de forma não estruturada — sem política formal de uso — o que sugeria que as práticas teriam variação observável; e (b) o CEO era egresso de um programa de pós-graduação em parceria com a universidade, o que facilitou o canal de acesso.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Meu papel foi o de observadora participante: estive fisicamente presente no escritório quatro dias por semana durante seis meses, participei de reuniões (stand-ups, plannings, retrospectivas, revisões de código), sentei ao lado de desenvolvedores durante sessões de trabalho, e por vezes fui convidada a opinar sobre questões técnicas. Não escrevi código nem participei formalmente das equipes. Essa posição — presente mas não membro — é uma das mais desafiantes da etnografia: próxima o suficiente para ver, distante o suficiente para estranhar.</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A decisão de ser observadora participante (em vez de apenas observadora) foi deliberada: em ambientes de desenvolvimento, a maior parte do trabalho intelectualmente relevante acontece em conversas informais, pair programming, code reviews e sessões de debugging — contextos nos quais uma câmera ou gravador criaria artificialidade. A proximidade física e a participação permitiram acesso a esses momentos. O custo é o risco de me tornar 'nativa' — perder a capacidade de estranhar o que os membros da comunidade tomam como óbvio. Registrei sistematicamente no diário de campo os momentos em que precisei me forçar a questionar o que tinha deixado de parecer estranho.</w:t>
      </w:r>
    </w:p>
    <w:p>
      <w:pPr>
        <w:spacing w:after="80" w:before="160" w:line="240" w:lineRule="auto"/>
        <w:jc w:val="left"/>
      </w:pPr>
      <w:r>
        <w:rPr>
          <w:rFonts w:ascii="Times New Roman" w:cs="Times New Roman" w:eastAsia="Times New Roman" w:hAnsi="Times New Roman"/>
          <w:b/>
          <w:bCs/>
          <w:i/>
          <w:iCs/>
          <w:sz w:val="20"/>
          <w:szCs w:val="20"/>
        </w:rPr>
        <w:t xml:space="preserve">2.4 Geração de Dados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terminologia importa: em etnografia, os dados não são 'coletados' (como em um survey) ou 'medidos' (como em um experimento) — eles são 'gerados' na interação entre pesquisadora e campo. Isso reflete a premissa de que os dados não existem prontos, esperando ser capturados; eles são coproduzidos na observação, na conversa, na interpretação.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dados foram gerados por três meios: (i) observação participante com registro em diário de campo (manuscrito, convertido para digital ao final de cada dia), totalizando 312 horas de presença e aproximadamente 180 mil palavras de notas; (ii) 21 entrevistas em profundidade, não estruturadas, conduzidas em formato de conversa sobre práticas específicas observadas — não sobre opiniões abstratas sobre LLMs; (iii) coleta de artefatos digitais: históricos de chat com LLMs (cedidos voluntariamente por 8 desenvolvedores), comentários em pull requests que mencionavam LLMs, e tickets no Jira que documentavam problemas originados de sugestões incorretas de LLMs.</w:t>
      </w:r>
    </w:p>
    <w:p>
      <w:pPr>
        <w:shd w:fill="FEF9E7" w:val="clear"/>
        <w:spacing w:after="80" w:before="80" w:line="240" w:lineRule="auto"/>
        <w:ind w:left="360" w:right="360"/>
        <w:jc w:val="both"/>
      </w:pPr>
      <w:r>
        <w:rPr>
          <w:rFonts w:ascii="Times New Roman" w:cs="Times New Roman" w:eastAsia="Times New Roman" w:hAnsi="Times New Roman"/>
          <w:b/>
          <w:bCs/>
          <w:sz w:val="18"/>
          <w:szCs w:val="18"/>
        </w:rPr>
        <w:t xml:space="preserve">Decisão metodológica: </w:t>
      </w:r>
      <w:r>
        <w:rPr>
          <w:rFonts w:ascii="Times New Roman" w:cs="Times New Roman" w:eastAsia="Times New Roman" w:hAnsi="Times New Roman"/>
          <w:sz w:val="18"/>
          <w:szCs w:val="18"/>
        </w:rPr>
        <w:t xml:space="preserve">Optei por entrevistas não estruturadas (conversas sobre práticas observadas) em vez de entrevistas semiestruturadas com roteiro fixo porque queria seguir o fio do que o participante considerava relevante, não o que eu havia antecipado como relevante. Perguntas como 'como você usa o LLM?' produzem narrativas idealizadas; 'você pode me contar o que aconteceu ontem quando você estava usando o Copilot e deu aquela trava?' produz relatos concretos de práticas situadas.</w:t>
      </w:r>
    </w:p>
    <w:p>
      <w:pPr>
        <w:spacing w:after="80" w:before="160" w:line="240" w:lineRule="auto"/>
        <w:jc w:val="left"/>
      </w:pPr>
      <w:r>
        <w:rPr>
          <w:rFonts w:ascii="Times New Roman" w:cs="Times New Roman" w:eastAsia="Times New Roman" w:hAnsi="Times New Roman"/>
          <w:b/>
          <w:bCs/>
          <w:i/>
          <w:iCs/>
          <w:sz w:val="20"/>
          <w:szCs w:val="20"/>
        </w:rPr>
        <w:t xml:space="preserve">2.5 Análise: Da Descrição Densa aos Temas Culturais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análise etnográfica não é um processo que começa após a coleta de dados — ela acontece continuamente, ao longo do trabalho de campo, no diário de campo e nas memórias analíticas que produzi semanalmente. A distinção entre 'dado' e 'análise' é mais porosa na etnografia do que em outros métodos.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processo de análise formal seguiu três movimentos: (i) codificação focada dos diários de campo e transcrições de entrevistas, identificando padrões recorrentes e 'momentos densos' — episódios em que múltiplas dimensões do fenômeno convergiam; (ii) agrupamento temático, em que os códigos foram organizados em temas candidatos e verificados contra os dados brutos; (iii) elaboração de 'descrições densas' (thick descriptions, no sentido de Geertz, 1973) para cada tema — narrativas que situam o fenômeno em seu contexto cultural com detalhe suficiente para o leitor construir seu próprio julgamento sobre a interpretação.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conceito de saturação informacional orientou o fim da coleta: quando novas observações deixaram de produzir novos temas e passaram a apenas confirmar os já identificados, o trabalho de campo foi encerrado. Esse critério é o análogo qualitativo do poder estatístico: não um número mágico de participantes, mas a evidência de que o campo está sendo compreendido com suficiente profundidade.</w:t>
      </w:r>
    </w:p>
    <w:p>
      <w:pPr>
        <w:spacing w:after="120" w:before="240" w:line="240" w:lineRule="auto"/>
        <w:jc w:val="left"/>
      </w:pPr>
      <w:r>
        <w:rPr>
          <w:rFonts w:ascii="Times New Roman" w:cs="Times New Roman" w:eastAsia="Times New Roman" w:hAnsi="Times New Roman"/>
          <w:b/>
          <w:bCs/>
          <w:sz w:val="22"/>
          <w:szCs w:val="22"/>
        </w:rPr>
        <w:t xml:space="preserve">3. RESULTADOS: QUATRO TEMAS CULTURAIS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resultados são apresentados como quatro temas culturais, cada um introduzido por uma vinheta de campo — um trecho reconstituído de notas de observação que ancora o tema em um momento concreto — seguido de análise interpretativa e evidências adicionais. Esse formato é característico da etnografia: o leitor é convidado a entrar no campo antes de receber a interpretação. A vinheta não é decoração; ela é evidência.</w:t>
      </w:r>
    </w:p>
    <w:p>
      <w:pPr>
        <w:spacing w:after="80" w:before="160" w:line="240" w:lineRule="auto"/>
        <w:jc w:val="left"/>
      </w:pPr>
      <w:r>
        <w:rPr>
          <w:rFonts w:ascii="Times New Roman" w:cs="Times New Roman" w:eastAsia="Times New Roman" w:hAnsi="Times New Roman"/>
          <w:b/>
          <w:bCs/>
          <w:i/>
          <w:iCs/>
          <w:sz w:val="20"/>
          <w:szCs w:val="20"/>
        </w:rPr>
        <w:t xml:space="preserve">3.1 Tema 1: O Modelo como Colega — A Sociabilidade do LLM</w:t>
      </w:r>
    </w:p>
    <w:p>
      <w:pPr>
        <w:pBdr>
          <w:left w:val="single" w:color="555555" w:sz="10" w:space="4"/>
        </w:pBdr>
        <w:shd w:fill="F0F0F0" w:val="clear"/>
        <w:spacing w:after="80" w:before="80" w:line="240" w:lineRule="auto"/>
        <w:ind w:left="720" w:right="360"/>
        <w:jc w:val="both"/>
      </w:pPr>
      <w:r>
        <w:rPr>
          <w:rFonts w:ascii="Times New Roman" w:cs="Times New Roman" w:eastAsia="Times New Roman" w:hAnsi="Times New Roman"/>
          <w:b/>
          <w:bCs/>
          <w:sz w:val="18"/>
          <w:szCs w:val="18"/>
        </w:rPr>
        <w:t xml:space="preserve">Nota de campo, 14 de maio, 14h23:  </w:t>
      </w:r>
      <w:r>
        <w:rPr>
          <w:rFonts w:ascii="Times New Roman" w:cs="Times New Roman" w:eastAsia="Times New Roman" w:hAnsi="Times New Roman"/>
          <w:i/>
          <w:iCs/>
          <w:sz w:val="18"/>
          <w:szCs w:val="18"/>
        </w:rPr>
        <w:t xml:space="preserve">Pedro está debugando um erro de autenticação há quarenta minutos. Ele lê o stack trace em voz alta para si mesmo, depois abre uma aba do ChatGPT e digita: 'Olha, eu tô com um problema aqui que não consigo resolver'. A abertura não é técnica — é relacional. Ele continua: 'O token de autenticação está expirando antes do prazo e não consigo entender por que'. O modelo responde. Pedro lê, murmura 'hm, faz sentido', e implementa a sugestão. Quando termina, diz para a tela: 'Valeu'. Ele se vira para mim, levemente constrangido: 'Eu sei que é ridículo agradecer para um programa'.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episódio com Pedro não foi isolado. Ao longo do trabalho de campo, documentei repetidamente desenvolvedores se dirigindo ao LLM em linguagem conversacional — não apenas formulando consultas técnicas, mas estabelecendo o que parecia ser uma relação de colaboração. Havia formas de abertura ('preciso de uma ajuda aqui'), expressões de gratidão ('boa'), frustração ('você não entendeu nada'), e até negociação ('não, assim não vai funcionar, tenta de novo').</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“Eu falo com ele como se fosse um colega que sabe de tudo mas às vezes fala besteira. Você precisa checar o que ele te diz, mas é útil ter alguém para pensar junto.”</w:t>
      </w:r>
      <w:r>
        <w:rPr>
          <w:rFonts w:ascii="Times New Roman" w:cs="Times New Roman" w:eastAsia="Times New Roman" w:hAnsi="Times New Roman"/>
          <w:b/>
          <w:bCs/>
          <w:sz w:val="18"/>
          <w:szCs w:val="18"/>
        </w:rPr>
        <w:t xml:space="preserve">  — Pedro, Desenvolvedor Sênior</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“Tem dias que eu prefiro perguntar pro modelo do que perguntar pro colega. Sem julgamento, sem aquela coisa de 'mas como você não sabe isso?'. O modelo simplesmente responde.”</w:t>
      </w:r>
      <w:r>
        <w:rPr>
          <w:rFonts w:ascii="Times New Roman" w:cs="Times New Roman" w:eastAsia="Times New Roman" w:hAnsi="Times New Roman"/>
          <w:b/>
          <w:bCs/>
          <w:sz w:val="18"/>
          <w:szCs w:val="18"/>
        </w:rPr>
        <w:t xml:space="preserve">  — Camila, Desenvolvedora Plena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Essa sociabilização do LLM não é uma curiosidade superficial — ela tem consequências funcionais. Desenvolvedores que tratavam o modelo como 'colega' tendiam a formular perguntas mais abertas e iterativas, a manter o contexto da conversa ao longo de múltiplas trocas, e a questionar ativamente as respostas recebidas ('isso está certo?'). Desenvolvedores que tratavam o modelo como ferramenta de busca tendiam a formular consultas pontuais, a aceitar as primeiras respostas sem iteração, e a fechara aba após cada uso. Essas diferenças de frame tinham impacto observável no padrão de uso — mas não no resultado final do código, ao menos nos casos que consegui acompanhar até a conclusão.</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Nota de reflexividade: </w:t>
      </w:r>
      <w:r>
        <w:rPr>
          <w:rFonts w:ascii="Times New Roman" w:cs="Times New Roman" w:eastAsia="Times New Roman" w:hAnsi="Times New Roman"/>
          <w:sz w:val="18"/>
          <w:szCs w:val="18"/>
        </w:rPr>
        <w:t xml:space="preserve">O meu próprio uso de LLMs antes do trabalho de campo era mais próximo do 'colega' do que da 'ferramenta de busca'. Isso me predispôs a notar e valorizar episódios como o de Pedro. Precisei me perguntar ativamente: estou vendo isso porque é central para a cultura da equipe, ou porque ressoa com minha própria prática?</w:t>
      </w:r>
    </w:p>
    <w:p>
      <w:pPr>
        <w:spacing w:after="80" w:before="160" w:line="240" w:lineRule="auto"/>
        <w:jc w:val="left"/>
      </w:pPr>
      <w:r>
        <w:rPr>
          <w:rFonts w:ascii="Times New Roman" w:cs="Times New Roman" w:eastAsia="Times New Roman" w:hAnsi="Times New Roman"/>
          <w:b/>
          <w:bCs/>
          <w:i/>
          <w:iCs/>
          <w:sz w:val="20"/>
          <w:szCs w:val="20"/>
        </w:rPr>
        <w:t xml:space="preserve">3.2 Tema 2: A Gramática da Desconfiança — Quando o Modelo Mente</w:t>
      </w:r>
    </w:p>
    <w:p>
      <w:pPr>
        <w:pBdr>
          <w:left w:val="single" w:color="555555" w:sz="10" w:space="4"/>
        </w:pBdr>
        <w:shd w:fill="F0F0F0" w:val="clear"/>
        <w:spacing w:after="80" w:before="80" w:line="240" w:lineRule="auto"/>
        <w:ind w:left="720" w:right="360"/>
        <w:jc w:val="both"/>
      </w:pPr>
      <w:r>
        <w:rPr>
          <w:rFonts w:ascii="Times New Roman" w:cs="Times New Roman" w:eastAsia="Times New Roman" w:hAnsi="Times New Roman"/>
          <w:b/>
          <w:bCs/>
          <w:sz w:val="18"/>
          <w:szCs w:val="18"/>
        </w:rPr>
        <w:t xml:space="preserve">Nota de campo, 3 de junho, 10h15:  </w:t>
      </w:r>
      <w:r>
        <w:rPr>
          <w:rFonts w:ascii="Times New Roman" w:cs="Times New Roman" w:eastAsia="Times New Roman" w:hAnsi="Times New Roman"/>
          <w:i/>
          <w:iCs/>
          <w:sz w:val="18"/>
          <w:szCs w:val="18"/>
        </w:rPr>
        <w:t xml:space="preserve">Em uma revisão de código, Thiago aponta para um bloco de autenticação: 'Esse código veio do Copilot. Olha aqui — ele usou uma função que foi depreciada no Node 18'. Rafael, o revisor, suspira. 'Copilot vintage'. Risos. O patch é rejeitado. No final do dia, ouço Thiago conversando com um júnior: 'Regra número um: se veio do modelo, você tem que entender o que você está aceitando. Se você não entende, não aceita'.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questão das 'alucinações' — respostas incorretas ou fabricadas dos LLMs — era um tema recorrente nas conversas informais e nas retrospectivas de sprint. Mas o que a etnografia revelou foi mais sutil do que a simples constatação de que os modelos erram: revelou que a comunidade havia desenvolvido uma gramática própria de desconfiança, com rituais, papéis e linguagem específicos para gerenciar a incerteza epistêmica introduzida pelos LLMs.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Havia um vocabulário informal consolidado para categorizar erros de LLMs: 'Copilot vintage' (código sintaticamente correto mas usando APIs antigas), 'sonho do modelo' (lógica coerente que não corresponde ao comportamento real da biblioteca), 'confabulation' (anglicismo adotado pela equipe para descrever referências a documentação inexistente). Esse vocabulário compartilhado não estava em nenhum manual; emergiu organicamente ao longo dos primeiros meses de uso intensivo.</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“No começo a gente confiava demais. Teve um sprint inteiro que a gente teve que refazer porque o modelo tinha gerado uma integração com uma API que não funcionava do jeito que ele disse. Depois disso, a gente passou a revisar tudo que vinha do modelo com mais atenção.”</w:t>
      </w:r>
      <w:r>
        <w:rPr>
          <w:rFonts w:ascii="Times New Roman" w:cs="Times New Roman" w:eastAsia="Times New Roman" w:hAnsi="Times New Roman"/>
          <w:b/>
          <w:bCs/>
          <w:sz w:val="18"/>
          <w:szCs w:val="18"/>
        </w:rPr>
        <w:t xml:space="preserve">  — Rafael, Tech Lead</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Observei a formação de práticas ritualizadas de verificação: desenvolvedores que executavam o código sugerido pelo modelo imediatamente, sem leitura; outros que liam linha por linha antes de executar; outros que copiavam as sugestões do modelo para um arquivo separado e testavam em isolamento antes de integrar ao projeto. Essas práticas não eram documentadas em nenhum processo formal — eram normas culturais emergentes, transmitidas informalmente entre sêniors e júniors.</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“Eu ensino os júniors a tratar o código do modelo como código de terceiro que você acabou de baixar do StackOverflow: você lê, você testa, você entende. Não é diferente.”</w:t>
      </w:r>
      <w:r>
        <w:rPr>
          <w:rFonts w:ascii="Times New Roman" w:cs="Times New Roman" w:eastAsia="Times New Roman" w:hAnsi="Times New Roman"/>
          <w:b/>
          <w:bCs/>
          <w:sz w:val="18"/>
          <w:szCs w:val="18"/>
        </w:rPr>
        <w:t xml:space="preserve">  — Thiago, Engenheiro Sênior</w:t>
      </w:r>
    </w:p>
    <w:p>
      <w:pPr>
        <w:spacing w:after="80" w:before="160" w:line="240" w:lineRule="auto"/>
        <w:jc w:val="left"/>
      </w:pPr>
      <w:r>
        <w:rPr>
          <w:rFonts w:ascii="Times New Roman" w:cs="Times New Roman" w:eastAsia="Times New Roman" w:hAnsi="Times New Roman"/>
          <w:b/>
          <w:bCs/>
          <w:i/>
          <w:iCs/>
          <w:sz w:val="20"/>
          <w:szCs w:val="20"/>
        </w:rPr>
        <w:t xml:space="preserve">3.3 Tema 3: O Uso Invisível — LLMs e a Política do Reconhecimento</w:t>
      </w:r>
    </w:p>
    <w:p>
      <w:pPr>
        <w:pBdr>
          <w:left w:val="single" w:color="555555" w:sz="10" w:space="4"/>
        </w:pBdr>
        <w:shd w:fill="F0F0F0" w:val="clear"/>
        <w:spacing w:after="80" w:before="80" w:line="240" w:lineRule="auto"/>
        <w:ind w:left="720" w:right="360"/>
        <w:jc w:val="both"/>
      </w:pPr>
      <w:r>
        <w:rPr>
          <w:rFonts w:ascii="Times New Roman" w:cs="Times New Roman" w:eastAsia="Times New Roman" w:hAnsi="Times New Roman"/>
          <w:b/>
          <w:bCs/>
          <w:sz w:val="18"/>
          <w:szCs w:val="18"/>
        </w:rPr>
        <w:t xml:space="preserve">Nota de campo, 22 de julho, stand-up matinal:  </w:t>
      </w:r>
      <w:r>
        <w:rPr>
          <w:rFonts w:ascii="Times New Roman" w:cs="Times New Roman" w:eastAsia="Times New Roman" w:hAnsi="Times New Roman"/>
          <w:i/>
          <w:iCs/>
          <w:sz w:val="18"/>
          <w:szCs w:val="18"/>
        </w:rPr>
        <w:t xml:space="preserve">A gestora de produto Renata pergunta quem foi responsável por uma solução elegante que apareceu no PR de Daniel. Daniel diz: 'Fui eu'. Não menciona o Copilot. Mais tarde, na hora do almoço, ele me conta: 'Não é que eu não fiz. Eu fiz — eu formulei o problema, eu avaliei a solução, eu adaptei. Mas na cabeça das pessoas, se você usou o modelo, não foi você que fez. Então eu não menciono'.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invisibilização do uso de LLMs foi um dos achados mais consistentes e mais carregados de tensão no trabalho de campo. Apesar da presença massiva dos modelos nas telas, havia uma norma implícita em todas as três equipes de não mencionar o uso de LLMs ao reportar resultados de trabalho — a menos que o resultado tivesse dado errado, caso em que o modelo era frequentemente citado como causa.</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“Existe uma sensação de que, se você usou IA, você não realmente resolveu o problema. É como usar calculadora na prova — tecnicamente permitido, mas você não vai ficar contando para o professor que usou.”</w:t>
      </w:r>
      <w:r>
        <w:rPr>
          <w:rFonts w:ascii="Times New Roman" w:cs="Times New Roman" w:eastAsia="Times New Roman" w:hAnsi="Times New Roman"/>
          <w:b/>
          <w:bCs/>
          <w:sz w:val="18"/>
          <w:szCs w:val="18"/>
        </w:rPr>
        <w:t xml:space="preserve">  — Camila, Desenvolvedora Plena</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“A empresa não tem uma política sobre isso. A gente não sabe se pode colocar no commit 'auxiliado por LLM'. Então a gente não coloca. Silêncio é mais seguro.”</w:t>
      </w:r>
      <w:r>
        <w:rPr>
          <w:rFonts w:ascii="Times New Roman" w:cs="Times New Roman" w:eastAsia="Times New Roman" w:hAnsi="Times New Roman"/>
          <w:b/>
          <w:bCs/>
          <w:sz w:val="18"/>
          <w:szCs w:val="18"/>
        </w:rPr>
        <w:t xml:space="preserve">  — Lucas, Desenvolvedor Júnior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Esse padrão de invisibilização criava tensões específicas em situações de pair programming e revisão de código: o revisor sabia, em geral, quando o código tinha sido gerado por LLM (pelo estilo, pela estrutura, por padrões específicos), mas a norma era não perguntar diretamente. O resultado era uma espécie de não-dito compartilhado — todos sabem, ninguém diz — que tinha consequências para a atribuição de crédito, para o processo de aprendizagem dos júniors, e para as decisões de gestão sobre capacidade da equipe.</w:t>
      </w:r>
    </w:p>
    <w:p>
      <w:pPr>
        <w:shd w:fill="FEF3E2" w:val="clear"/>
        <w:spacing w:after="80" w:before="80" w:line="240" w:lineRule="auto"/>
        <w:ind w:left="360" w:right="360"/>
        <w:jc w:val="both"/>
      </w:pPr>
      <w:r>
        <w:rPr>
          <w:rFonts w:ascii="Times New Roman" w:cs="Times New Roman" w:eastAsia="Times New Roman" w:hAnsi="Times New Roman"/>
          <w:b/>
          <w:bCs/>
          <w:sz w:val="18"/>
          <w:szCs w:val="18"/>
        </w:rPr>
        <w:t xml:space="preserve">Nota de reflexividade: </w:t>
      </w:r>
      <w:r>
        <w:rPr>
          <w:rFonts w:ascii="Times New Roman" w:cs="Times New Roman" w:eastAsia="Times New Roman" w:hAnsi="Times New Roman"/>
          <w:sz w:val="18"/>
          <w:szCs w:val="18"/>
        </w:rPr>
        <w:t xml:space="preserve">Este tema me causou desconforto pessoal que precisei registrar: eu mesma tinha tendências análogas de invisibilizar o uso de LLMs em minha escrita acadêmica. A pesquisa de campo me forçou a refletir sobre como a norma que observava nos desenvolvedores era mais ampla do que aquela equipe específica.</w:t>
      </w:r>
    </w:p>
    <w:p>
      <w:pPr>
        <w:spacing w:after="80" w:before="160" w:line="240" w:lineRule="auto"/>
        <w:jc w:val="left"/>
      </w:pPr>
      <w:r>
        <w:rPr>
          <w:rFonts w:ascii="Times New Roman" w:cs="Times New Roman" w:eastAsia="Times New Roman" w:hAnsi="Times New Roman"/>
          <w:b/>
          <w:bCs/>
          <w:i/>
          <w:iCs/>
          <w:sz w:val="20"/>
          <w:szCs w:val="20"/>
        </w:rPr>
        <w:t xml:space="preserve">3.4 Tema 4: O LLM como Espelho — Identidade Profissional em Transição</w:t>
      </w:r>
    </w:p>
    <w:p>
      <w:pPr>
        <w:pBdr>
          <w:left w:val="single" w:color="555555" w:sz="10" w:space="4"/>
        </w:pBdr>
        <w:shd w:fill="F0F0F0" w:val="clear"/>
        <w:spacing w:after="80" w:before="80" w:line="240" w:lineRule="auto"/>
        <w:ind w:left="720" w:right="360"/>
        <w:jc w:val="both"/>
      </w:pPr>
      <w:r>
        <w:rPr>
          <w:rFonts w:ascii="Times New Roman" w:cs="Times New Roman" w:eastAsia="Times New Roman" w:hAnsi="Times New Roman"/>
          <w:b/>
          <w:bCs/>
          <w:sz w:val="18"/>
          <w:szCs w:val="18"/>
        </w:rPr>
        <w:t xml:space="preserve">Nota de campo, 8 de setembro, retrospectiva de sprint:  </w:t>
      </w:r>
      <w:r>
        <w:rPr>
          <w:rFonts w:ascii="Times New Roman" w:cs="Times New Roman" w:eastAsia="Times New Roman" w:hAnsi="Times New Roman"/>
          <w:i/>
          <w:iCs/>
          <w:sz w:val="18"/>
          <w:szCs w:val="18"/>
        </w:rPr>
        <w:t xml:space="preserve">Marina, desenvolvedora sênior com 12 anos de experiência, levanta um ponto fora da agenda: 'Eu preciso dizer uma coisa que está me incomodando. Semana passada eu passei três horas tentando resolver um problema que o modelo resolveu em três minutos. Aí eu fiquei pensando: para que serve o que eu aprendi?' Silêncio na sala. Depois, Thiago: 'O modelo não entenderia por que aquele problema existia. Você entende. Isso é diferente'. Marina: 'Talvez. Mas não me senti assim na hora'.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cena da retrospectiva era mais do que uma discussão sobre ferramentas. Era uma negociação de identidade profissional em tempo real. A questão de Marina — 'para que serve o que eu aprendi?' — repercutiu em conversas posteriores com quase todos os desenvolvedores sêniors que entrevistei. Ela articulava uma ansiedade que era ao mesmo tempo individual e coletiva: o que significa ser desenvolvedor quando existe uma ferramenta que produz código competente em segundos?</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“Eu fui para a faculdade, passei anos aprendendo algoritmos, estruturas de dados, toda aquela teoria. O modelo não sabe nada disso no sentido de entender. Mas ele produz resultado. Então o que sobra de único pra mim?”</w:t>
      </w:r>
      <w:r>
        <w:rPr>
          <w:rFonts w:ascii="Times New Roman" w:cs="Times New Roman" w:eastAsia="Times New Roman" w:hAnsi="Times New Roman"/>
          <w:b/>
          <w:bCs/>
          <w:sz w:val="18"/>
          <w:szCs w:val="18"/>
        </w:rPr>
        <w:t xml:space="preserve">  — Marina, Desenvolvedora Sênior</w:t>
      </w:r>
    </w:p>
    <w:p>
      <w:pPr>
        <w:pBdr>
          <w:left w:val="single" w:color="888888" w:sz="8" w:space="4"/>
        </w:pBdr>
        <w:shd w:fill="F8F8F8" w:val="clear"/>
        <w:spacing w:after="60" w:before="60" w:line="240" w:lineRule="auto"/>
        <w:ind w:left="720" w:right="360"/>
        <w:jc w:val="both"/>
      </w:pPr>
      <w:r>
        <w:rPr>
          <w:rFonts w:ascii="Times New Roman" w:cs="Times New Roman" w:eastAsia="Times New Roman" w:hAnsi="Times New Roman"/>
          <w:i/>
          <w:iCs/>
          <w:sz w:val="18"/>
          <w:szCs w:val="18"/>
        </w:rPr>
        <w:t xml:space="preserve">“Para mim mudou o que é valioso saber. Antes era saber escrever o código. Agora é saber o que pedir, como checar, como conectar as peças. É mais abstrato e ao mesmo tempo mais complicado.”</w:t>
      </w:r>
      <w:r>
        <w:rPr>
          <w:rFonts w:ascii="Times New Roman" w:cs="Times New Roman" w:eastAsia="Times New Roman" w:hAnsi="Times New Roman"/>
          <w:b/>
          <w:bCs/>
          <w:sz w:val="18"/>
          <w:szCs w:val="18"/>
        </w:rPr>
        <w:t xml:space="preserve">  — Thiago, Engenheiro Sênior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Identificar os processos de re-significação da expertise foi uma das contribuições mais ricas deste trabalho de campo. Os desenvolvedores mais adaptados ao novo cenário — aqueles que reportavam menor ansiedade e maior satisfação com o trabalho — tendiam a ter reposicionado sua identidade profissional: de 'produtor de código' para 'curador de soluções', 'arquiteto de problemas' ou 'crítico técnico'. Esse reposicionamento não era consciente ou deliberado na maioria dos casos — era uma adaptação gradual, observável no vocabulário que usavam para descrever o próprio trabalho.</w:t>
      </w:r>
    </w:p>
    <w:p>
      <w:pPr>
        <w:spacing w:after="120" w:before="240" w:line="240" w:lineRule="auto"/>
        <w:jc w:val="left"/>
      </w:pPr>
      <w:r>
        <w:rPr>
          <w:rFonts w:ascii="Times New Roman" w:cs="Times New Roman" w:eastAsia="Times New Roman" w:hAnsi="Times New Roman"/>
          <w:b/>
          <w:bCs/>
          <w:sz w:val="22"/>
          <w:szCs w:val="22"/>
        </w:rPr>
        <w:t xml:space="preserve">4. DISCUSSÃO</w:t>
      </w:r>
    </w:p>
    <w:p>
      <w:pPr>
        <w:spacing w:after="80" w:before="160" w:line="240" w:lineRule="auto"/>
        <w:jc w:val="left"/>
      </w:pPr>
      <w:r>
        <w:rPr>
          <w:rFonts w:ascii="Times New Roman" w:cs="Times New Roman" w:eastAsia="Times New Roman" w:hAnsi="Times New Roman"/>
          <w:b/>
          <w:bCs/>
          <w:i/>
          <w:iCs/>
          <w:sz w:val="20"/>
          <w:szCs w:val="20"/>
        </w:rPr>
        <w:t xml:space="preserve">4.1 O que a Etnografia Viu que Outros Métodos Não Veriam</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Os quatro temas deste estudo não são acessíveis por survey ou experimento — não porque sejam subjetivos no sentido de menos reais, mas porque são fenômenos de camada cultural que só se manifestam no cotidiano acumulado. Um survey que perguntasse 'você socializa com o LLM?' provavelmente produziria respostas distorcidas pela desejabilidade social ('não, claro que não'). Um experimento que comparasse produtividade com e sem LLM mediria output, não o processo de negociação identitária de Marina ou a gramática coletiva de desconfiança de Thiago.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invisibilização do uso (Tema 3) é o exemplo mais claro: ela é, por definição, invisível para qualquer método que dependa de autodeclaração. Só a observação prolongada permitiu documentá-la, porque a pesquisadora estava presente tanto nos momentos em que o uso acontecia quanto nos momentos em que ele não era reportado. Essa é a contribuição estrutural da etnografia: acesso à diferença entre o que as pessoas fazem e o que dizem que fazem.</w:t>
      </w:r>
    </w:p>
    <w:p>
      <w:pPr>
        <w:spacing w:after="80" w:before="160" w:line="240" w:lineRule="auto"/>
        <w:jc w:val="left"/>
      </w:pPr>
      <w:r>
        <w:rPr>
          <w:rFonts w:ascii="Times New Roman" w:cs="Times New Roman" w:eastAsia="Times New Roman" w:hAnsi="Times New Roman"/>
          <w:b/>
          <w:bCs/>
          <w:i/>
          <w:iCs/>
          <w:sz w:val="20"/>
          <w:szCs w:val="20"/>
        </w:rPr>
        <w:t xml:space="preserve">4.2 Saturação, Representatividade e os Limites da Interpretação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Uma crítica legítima a este estudo é que seus achados são específicos à VertexCode — uma startup de SaaS para RH, com cultura de engenharia específica, em um período de tempo delimitado. Os temas identificados podem não se manifestar da mesma forma em uma corporação financeira conservadora, em uma empresa de jogos, ou em um contexto de desenvolvimento open-source distribuído.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Essa limitação é real e não pode ser resolvida por mais dados do mesmo campo. O que a etnografia oferece não é generalização estatística mas ressonância cultural: leitores em contextos similares reconhecerão os padrões descritos ou identificarão precisamente onde e por que seu contexto diverge. Essa transferibilidade informada é o tipo de generalização que o método permite — e que, em muitos casos práticos, é mais útil do que uma média populacional.</w:t>
      </w:r>
    </w:p>
    <w:p>
      <w:pPr>
        <w:spacing w:after="80" w:before="160" w:line="240" w:lineRule="auto"/>
        <w:jc w:val="left"/>
      </w:pPr>
      <w:r>
        <w:rPr>
          <w:rFonts w:ascii="Times New Roman" w:cs="Times New Roman" w:eastAsia="Times New Roman" w:hAnsi="Times New Roman"/>
          <w:b/>
          <w:bCs/>
          <w:i/>
          <w:iCs/>
          <w:sz w:val="20"/>
          <w:szCs w:val="20"/>
        </w:rPr>
        <w:t xml:space="preserve">4.3 A Pesquisadora como Instrumento e como Problema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reflexividade não é um adorno epistemológico — é um mecanismo de controle de qualidade. Em métodos mais estruturados, os instrumentos de medição (questionários, protocolos experimentais) são explicitados e replicáveis. Na etnografia, o instrumento é a pesquisadora: sua percepção, sua memória, suas categorias analíticas, suas simpatias e antipatias. Tornar esse instrumento transparente — registrar suas calibrações, seus vieses conhecidos, seus momentos de estranhamento e de captura — é a forma de oferecer ao leitor os meios de avaliar criticamente a interpretação produzida.</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Dito isso, a transparência tem limites. Por mais cuidadosa que seja a reflexividade, a pesquisadora não consegue se ver completamente de fora. O que este estudo oferece é uma interpretação honesta e informada, não uma verdade definitiva sobre como desenvolvedores usam LLMs. Outros pesquisadores, em outros momentos, com outros posicionamentos, veriam coisas diferentes no mesmo campo.</w:t>
      </w:r>
    </w:p>
    <w:p>
      <w:pPr>
        <w:spacing w:after="120" w:before="240" w:line="240" w:lineRule="auto"/>
        <w:jc w:val="left"/>
      </w:pPr>
      <w:r>
        <w:rPr>
          <w:rFonts w:ascii="Times New Roman" w:cs="Times New Roman" w:eastAsia="Times New Roman" w:hAnsi="Times New Roman"/>
          <w:b/>
          <w:bCs/>
          <w:sz w:val="22"/>
          <w:szCs w:val="22"/>
        </w:rPr>
        <w:t xml:space="preserve">5. LIMITAÇÕES E CONSIDERAÇÕES SOBRE RIGOR</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Adotamos os critérios de rigor qualitativo propostos por Lincoln e Guba (1985) e os critérios específicos para etnografia em ES sugeridos por Lethbridge et al. (2005). As principais limitações são:</w:t>
      </w:r>
    </w:p>
    <w:p>
      <w:pPr>
        <w:spacing w:after="80" w:before="160" w:line="240" w:lineRule="auto"/>
        <w:jc w:val="left"/>
      </w:pPr>
      <w:r>
        <w:rPr>
          <w:rFonts w:ascii="Times New Roman" w:cs="Times New Roman" w:eastAsia="Times New Roman" w:hAnsi="Times New Roman"/>
          <w:b/>
          <w:bCs/>
          <w:i/>
          <w:iCs/>
          <w:sz w:val="20"/>
          <w:szCs w:val="20"/>
        </w:rPr>
        <w:t xml:space="preserve">5.1 Credibilidade e Efeito de Reatividade</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A presença prolongada da pesquisadora pode ter alterado os comportamentos observados — especialmente no Tema 3 (invisibilização), onde a consciência de estar sendo observada poderia ter levado os desenvolvedores a ser mais ou menos explícitos sobre o uso de LLMs. Mitigamos parcialmente esse risco pela duração da imersão (seis meses), que permitiu uma adaptação gradual à presença da pesquisadora. Entrevistas de member checking com três participantes confirmaram as interpretações principais com ajustes de nuance.</w:t>
      </w:r>
    </w:p>
    <w:p>
      <w:pPr>
        <w:spacing w:after="80" w:before="160" w:line="240" w:lineRule="auto"/>
        <w:jc w:val="left"/>
      </w:pPr>
      <w:r>
        <w:rPr>
          <w:rFonts w:ascii="Times New Roman" w:cs="Times New Roman" w:eastAsia="Times New Roman" w:hAnsi="Times New Roman"/>
          <w:b/>
          <w:bCs/>
          <w:i/>
          <w:iCs/>
          <w:sz w:val="20"/>
          <w:szCs w:val="20"/>
        </w:rPr>
        <w:t xml:space="preserve">5.2 Escopo Temporal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campo foi observado em um momento específico de adoção de LLMs (2024), quando os modelos eram relativamente novos nas práticas de desenvolvimento. Os temas identificados — especialmente o de identidade profissional em transição — podem ser fenômenos de curto prazo que se estabilizarão à medida que o uso de LLMs se normalizar. Uma etnografia longitudinal, acompanhando as mesmas equipes ao longo de anos, produziria um retrato mais completo.</w:t>
      </w:r>
    </w:p>
    <w:p>
      <w:pPr>
        <w:spacing w:after="80" w:before="160" w:line="240" w:lineRule="auto"/>
        <w:jc w:val="left"/>
      </w:pPr>
      <w:r>
        <w:rPr>
          <w:rFonts w:ascii="Times New Roman" w:cs="Times New Roman" w:eastAsia="Times New Roman" w:hAnsi="Times New Roman"/>
          <w:b/>
          <w:bCs/>
          <w:i/>
          <w:iCs/>
          <w:sz w:val="20"/>
          <w:szCs w:val="20"/>
        </w:rPr>
        <w:t xml:space="preserve">5.3 Acesso Diferencial</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acesso às três equipes foi desigual: passei mais tempo com as equipes de back-end do que com a equipe de infraestrutura, que tinha dinâmicas mais fechadas. Os temas emergentes podem estar sub-representando padrões específicos do trabalho de infraestrutura.</w:t>
      </w:r>
    </w:p>
    <w:p>
      <w:pPr>
        <w:spacing w:after="120" w:before="240" w:line="240" w:lineRule="auto"/>
        <w:jc w:val="left"/>
      </w:pPr>
      <w:r>
        <w:rPr>
          <w:rFonts w:ascii="Times New Roman" w:cs="Times New Roman" w:eastAsia="Times New Roman" w:hAnsi="Times New Roman"/>
          <w:b/>
          <w:bCs/>
          <w:sz w:val="22"/>
          <w:szCs w:val="22"/>
        </w:rPr>
        <w:t xml:space="preserve">6. CONCLUSÃO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Esta etnografia documentou quatro temas culturais que descrevem como uma comunidade de desenvolvedores integra LLMs em seu cotidiano: a sociabilização do modelo como 'colega', a gramática coletiva de desconfiança, a invisibilização estratégica do uso, e a renegociação da identidade profissional. Esses achados não são hipóteses a serem testadas — são descrições densas de práticas culturais situadas, com potencial de ressonância para pesquisadores e profissionais em contextos similares.</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O estudo ilustra o que a etnografia oferece que outros métodos não oferecem: acesso à diferença entre o que as pessoas fazem e o que dizem que fazem; a capacidade de identificar fenômenos que não estavam no protocolo original; e uma interpretação da prática tecnológica que inclui a dimensão humana — identidade, emoção, cultura — como constituinte, não como ruído.</w:t>
      </w:r>
    </w:p>
    <w:p>
      <w:pPr>
        <w:spacing w:after="120" w:before="0" w:line="240" w:lineRule="auto"/>
        <w:jc w:val="both"/>
      </w:pPr>
      <w:r>
        <w:rPr>
          <w:rFonts w:ascii="Times New Roman" w:cs="Times New Roman" w:eastAsia="Times New Roman" w:hAnsi="Times New Roman"/>
          <w:b w:val="false"/>
          <w:bCs w:val="false"/>
          <w:i w:val="false"/>
          <w:iCs w:val="false"/>
          <w:sz w:val="20"/>
          <w:szCs w:val="20"/>
        </w:rPr>
        <w:t xml:space="preserve">Pesquisas futuras poderiam investigar se os temas identificados são transferíveis para contextos organizacionais diferentes (corporações versus startups, diferentes setores) e se a renegociação identitária observada se estabiliza ou se aprofunda com o tempo de uso dos modelos. Estudos longitudinais e estudos comparativos de casos múltiplos seriam complementos naturais a esta etnografia.</w:t>
      </w:r>
    </w:p>
    <w:p>
      <w:pPr>
        <w:pBdr>
          <w:bottom w:val="single" w:color="333333" w:sz="6" w:space="1"/>
        </w:pBdr>
        <w:spacing w:after="120" w:before="120"/>
      </w:pPr>
      <w:r>
        <w:t xml:space="preserve"/>
      </w:r>
    </w:p>
    <w:p>
      <w:pPr>
        <w:spacing w:after="120" w:before="120"/>
        <w:jc w:val="left"/>
      </w:pPr>
      <w:r>
        <w:rPr>
          <w:rFonts w:ascii="Times New Roman" w:cs="Times New Roman" w:eastAsia="Times New Roman" w:hAnsi="Times New Roman"/>
          <w:b/>
          <w:bCs/>
          <w:sz w:val="22"/>
          <w:szCs w:val="22"/>
        </w:rPr>
        <w:t xml:space="preserve">Perguntas para Reflexão sobre o Método</w:t>
      </w:r>
    </w:p>
    <w:p>
      <w:pPr>
        <w:spacing w:after="120" w:before="0" w:line="240" w:lineRule="auto"/>
        <w:jc w:val="both"/>
      </w:pPr>
      <w:r>
        <w:rPr>
          <w:rFonts w:ascii="Times New Roman" w:cs="Times New Roman" w:eastAsia="Times New Roman" w:hAnsi="Times New Roman"/>
          <w:b w:val="false"/>
          <w:bCs w:val="false"/>
          <w:i/>
          <w:iCs/>
          <w:sz w:val="18"/>
          <w:szCs w:val="18"/>
        </w:rPr>
        <w:t xml:space="preserve">As perguntas a seguir têm como objetivo apoiar a discussão em sala sobre as escolhas e características do método etnográfico conforme exemplificado neste artigo.</w:t>
      </w:r>
    </w:p>
    <w:p>
      <w:pPr>
        <w:spacing w:after="0" w:before="60"/>
      </w:pPr>
      <w:r>
        <w:t xml:space="preserve"/>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artigo começa com a pesquisadora descrevendo a cena que encontrou ao chegar ao campo pela primeira vez, na primeira pessoa. Compare com a abertura dos artigos anteriores (survey, experimento, estudo de caso). O que essa diferença de voz narrativa diz sobre a relação entre pesquisadora e objeto de estudo em cada método?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pesquisadora passou 312 horas em campo. Por que a etnografia exige essa duração? O que ela veria diferente em um campo de 312 horas que não veria em visitas pontuais de 10 horas no total?</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Tema 3 (invisibilização do uso de LLMs) foi identificado precisamente porque a pesquisadora estava presente tanto no momento do uso quanto no momento em que ele não foi reportado. Que tipo de método poderia ter capturado esse mesmo fenômeno sem presença prolongada? Se nenhum, o que isso diz sobre a relação entre método e fenômeno?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As 'notas de reflexividade' no artigo mostram a pesquisadora questionando suas próprias interpretações. Em um experimento controlado, como o viés do pesquisador é controlado? Na etnografia, como ele é tratado? Qual abordagem você considera mais honesta intelectualmente, e por quê?</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A tabela comparativa (Etnografia vs. Estudo de Caso) mostra que a etnografia não usa proposições a priori. Como isso afeta o que a pesquisadora pode e não pode concluir? Compare com o estudo de caso do artigo anterior: o que cada um pode afirmar sobre causalidade, transferibilidade e teoria?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O episódio de Marina na retrospectiva (Tema 4) é apresentado como vinheta de campo antes da análise. Por que esse formato — vinheta antes da interpretação — é característico da etnografia? O que ele permite ao leitor que uma afirmação analítica direta não permitiria?</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Um revisor positivista poderia dizer: 'Este estudo tem apenas uma pesquisadora, em uma empresa, por seis meses — como podemos confiar na interpretação?' Como você responderia usando os critérios de rigor discutidos no artigo? Em que esses critérios diferem dos critérios do experimento controlado?</w:t>
      </w:r>
    </w:p>
    <w:p>
      <w:pPr>
        <w:pStyle w:val="ListParagraph"/>
        <w:numPr>
          <w:ilvl w:val="0"/>
          <w:numId w:val="2"/>
        </w:numPr>
        <w:spacing w:after="60" w:before="60" w:line="240" w:lineRule="auto"/>
        <w:jc w:val="both"/>
      </w:pPr>
      <w:r>
        <w:rPr>
          <w:rFonts w:ascii="Times New Roman" w:cs="Times New Roman" w:eastAsia="Times New Roman" w:hAnsi="Times New Roman"/>
          <w:sz w:val="20"/>
          <w:szCs w:val="20"/>
        </w:rPr>
        <w:t xml:space="preserve">Depois de ler os quatro artigos, você consegue identificar um problema da sua própria área de pesquisa para o qual a etnografia seria o método mais adequado? Por que esse problema específico precisaria de imersão prolongada em vez de questionário, experimento ou estudo de caso?</w:t>
      </w:r>
    </w:p>
    <w:p>
      <w:pPr>
        <w:pBdr>
          <w:bottom w:val="single" w:color="333333" w:sz="6" w:space="1"/>
        </w:pBdr>
        <w:spacing w:after="120" w:before="120"/>
      </w:pPr>
      <w:r>
        <w:t xml:space="preserve"/>
      </w:r>
    </w:p>
    <w:p>
      <w:pPr>
        <w:spacing w:after="80" w:before="120"/>
        <w:jc w:val="left"/>
      </w:pPr>
      <w:r>
        <w:rPr>
          <w:rFonts w:ascii="Times New Roman" w:cs="Times New Roman" w:eastAsia="Times New Roman" w:hAnsi="Times New Roman"/>
          <w:b/>
          <w:bCs/>
          <w:sz w:val="22"/>
          <w:szCs w:val="22"/>
        </w:rPr>
        <w:t xml:space="preserve">Anexo A – Guia de Referência do Método: Etnografia</w:t>
      </w:r>
    </w:p>
    <w:p>
      <w:pPr>
        <w:spacing w:after="120" w:before="0" w:line="240" w:lineRule="auto"/>
        <w:jc w:val="both"/>
      </w:pPr>
      <w:r>
        <w:rPr>
          <w:rFonts w:ascii="Times New Roman" w:cs="Times New Roman" w:eastAsia="Times New Roman" w:hAnsi="Times New Roman"/>
          <w:b w:val="false"/>
          <w:bCs w:val="false"/>
          <w:i/>
          <w:iCs/>
          <w:sz w:val="18"/>
          <w:szCs w:val="18"/>
        </w:rPr>
        <w:t xml:space="preserve">Este anexo resume as características essenciais do método etnográfico em Engenharia de Software, com referência ao Empirical Standard for Ethnographies (Ralph et al., 2020) e a Lethbridge et al. (2005).</w:t>
      </w:r>
    </w:p>
    <w:p>
      <w:pPr>
        <w:spacing w:after="0" w:before="60"/>
      </w:pPr>
      <w:r>
        <w:t xml:space="preserve"/>
      </w:r>
    </w:p>
    <w:p>
      <w:pPr>
        <w:spacing w:after="40" w:before="80"/>
      </w:pPr>
      <w:r>
        <w:rPr>
          <w:rFonts w:ascii="Times New Roman" w:cs="Times New Roman" w:eastAsia="Times New Roman" w:hAnsi="Times New Roman"/>
          <w:b/>
          <w:bCs/>
          <w:sz w:val="20"/>
          <w:szCs w:val="20"/>
        </w:rPr>
        <w:t xml:space="preserve">O que é a Etnografia?</w:t>
      </w:r>
    </w:p>
    <w:p>
      <w:pPr>
        <w:spacing w:after="120" w:before="0" w:line="240" w:lineRule="auto"/>
        <w:jc w:val="both"/>
      </w:pPr>
      <w:r>
        <w:rPr>
          <w:rFonts w:ascii="Times New Roman" w:cs="Times New Roman" w:eastAsia="Times New Roman" w:hAnsi="Times New Roman"/>
          <w:b w:val="false"/>
          <w:bCs w:val="false"/>
          <w:i w:val="false"/>
          <w:iCs w:val="false"/>
          <w:sz w:val="18"/>
          <w:szCs w:val="18"/>
        </w:rPr>
        <w:t xml:space="preserve">Método de pesquisa de origem antropológica que busca compreender as práticas culturais de uma comunidade por meio da imersão prolongada do pesquisador nessa comunidade. Diferentemente do estudo de caso, o foco não é um fenômeno ou evento delimitado, mas a cultura — os significados compartilhados, rituais, normas tácitas e práticas cotidianas que constituem a comunidade.</w:t>
      </w:r>
    </w:p>
    <w:p>
      <w:pPr>
        <w:spacing w:after="0" w:before="40"/>
      </w:pPr>
      <w:r>
        <w:t xml:space="preserve"/>
      </w:r>
    </w:p>
    <w:p>
      <w:pPr>
        <w:spacing w:after="40" w:before="80"/>
      </w:pPr>
      <w:r>
        <w:rPr>
          <w:rFonts w:ascii="Times New Roman" w:cs="Times New Roman" w:eastAsia="Times New Roman" w:hAnsi="Times New Roman"/>
          <w:b/>
          <w:bCs/>
          <w:sz w:val="20"/>
          <w:szCs w:val="20"/>
        </w:rPr>
        <w:t xml:space="preserve">Quando Usar e Quando Não Usar a Etnografia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USE a Etnografia quando...</w:t>
            </w:r>
          </w:p>
        </w:tc>
        <w:tc>
          <w:tcPr>
            <w:tcW w:type="dxa" w:w="4536"/>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bCs/>
                <w:sz w:val="18"/>
                <w:szCs w:val="18"/>
              </w:rPr>
              <w:t xml:space="preserve">NÃO USE quando...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sobre práticas culturais, significados, rituais de uma comunidade</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pergunta é sobre frequência, distribuição ou causalidade</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de interesse é tácito, não declarado, ou contraditório com o autodeclarado</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fenômeno pode ser capturado por autodeclaração (survey) ou em laboratório (experimento)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tem acesso e tempo para imersão prolongada (meses)</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cronograma impede presença prolongada — busque estudo de caso</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quer compreender como uma tecnologia se encaixa (ou não) em uma cultura existente</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Você quer medir o impacto de uma tecnologia em uma variável específica</w:t>
            </w:r>
          </w:p>
        </w:tc>
      </w:tr>
      <w:tr>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A diferença entre o dizer e o fazer é o fenômeno de interesse</w:t>
            </w:r>
          </w:p>
        </w:tc>
        <w:tc>
          <w:tcPr>
            <w:tcW w:type="dxa" w:w="453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after="0" w:before="0" w:line="240" w:lineRule="auto"/>
              <w:jc w:val="left"/>
            </w:pPr>
            <w:r>
              <w:rPr>
                <w:rFonts w:ascii="Times New Roman" w:cs="Times New Roman" w:eastAsia="Times New Roman" w:hAnsi="Times New Roman"/>
                <w:b w:val="false"/>
                <w:bCs w:val="false"/>
                <w:sz w:val="18"/>
                <w:szCs w:val="18"/>
              </w:rPr>
              <w:t xml:space="preserve">O relato dos participantes é suficientemente confiável para responder à pergunta</w:t>
            </w:r>
          </w:p>
        </w:tc>
      </w:tr>
    </w:tbl>
    <w:p>
      <w:pPr>
        <w:spacing w:after="0" w:before="80"/>
      </w:pPr>
      <w:r>
        <w:t xml:space="preserve"/>
      </w:r>
    </w:p>
    <w:p>
      <w:pPr>
        <w:spacing w:after="40" w:before="80"/>
      </w:pPr>
      <w:r>
        <w:rPr>
          <w:rFonts w:ascii="Times New Roman" w:cs="Times New Roman" w:eastAsia="Times New Roman" w:hAnsi="Times New Roman"/>
          <w:b/>
          <w:bCs/>
          <w:sz w:val="20"/>
          <w:szCs w:val="20"/>
        </w:rPr>
        <w:t xml:space="preserve">Antipadrões em Etnografia em ES</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Chamar de 'etnografia' qualquer pesquisa qualitativa com observação — sem imersão prolongada, sem reflexividade, sem descrição densa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Tratar a reflexividade como formalidade em vez de mecanismo analítico genuíno</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Apresentar os achados como verdades objetivas sobre a comunidade, ignorando a parcialidade constitutiva da interpretação etnográfica</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Encerrar o trabalho de campo prematuramente, antes da saturação informacional</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Não distinguir entre o que os participantes fazem e o que dizem que fazem</w:t>
      </w:r>
    </w:p>
    <w:p>
      <w:pPr>
        <w:pStyle w:val="ListParagraph"/>
        <w:numPr>
          <w:ilvl w:val="0"/>
          <w:numId w:val="3"/>
        </w:numPr>
        <w:spacing w:after="30" w:before="30" w:line="240" w:lineRule="auto"/>
        <w:jc w:val="both"/>
      </w:pPr>
      <w:r>
        <w:rPr>
          <w:rFonts w:ascii="Times New Roman" w:cs="Times New Roman" w:eastAsia="Times New Roman" w:hAnsi="Times New Roman"/>
          <w:sz w:val="18"/>
          <w:szCs w:val="18"/>
        </w:rPr>
        <w:t xml:space="preserve">Aplicar critérios positivistas (validade interna, generalização estatística) a etnografias</w:t>
      </w:r>
    </w:p>
    <w:p>
      <w:pPr>
        <w:spacing w:after="0" w:before="120"/>
      </w:pPr>
      <w:r>
        <w:t xml:space="preserve"/>
      </w:r>
    </w:p>
    <w:p>
      <w:pPr>
        <w:spacing w:after="120" w:before="240" w:line="240" w:lineRule="auto"/>
        <w:jc w:val="left"/>
      </w:pPr>
      <w:r>
        <w:rPr>
          <w:rFonts w:ascii="Times New Roman" w:cs="Times New Roman" w:eastAsia="Times New Roman" w:hAnsi="Times New Roman"/>
          <w:b/>
          <w:bCs/>
          <w:sz w:val="22"/>
          <w:szCs w:val="22"/>
        </w:rPr>
        <w:t xml:space="preserve">REFERÊNCIAS</w:t>
      </w:r>
    </w:p>
    <w:p>
      <w:pPr>
        <w:spacing w:after="80" w:before="0" w:line="240" w:lineRule="auto"/>
        <w:ind w:left="720" w:hanging="720"/>
        <w:jc w:val="both"/>
      </w:pPr>
      <w:r>
        <w:rPr>
          <w:rFonts w:ascii="Times New Roman" w:cs="Times New Roman" w:eastAsia="Times New Roman" w:hAnsi="Times New Roman"/>
          <w:sz w:val="18"/>
          <w:szCs w:val="18"/>
        </w:rPr>
        <w:t xml:space="preserve">Berger, P. L. e Luckmann, T. (1966). The Social Construction of Reality: A Treatise in the Sociology of Knowledge. Doubleday.</w:t>
      </w:r>
    </w:p>
    <w:p>
      <w:pPr>
        <w:spacing w:after="80" w:before="0" w:line="240" w:lineRule="auto"/>
        <w:ind w:left="720" w:hanging="720"/>
        <w:jc w:val="both"/>
      </w:pPr>
      <w:r>
        <w:rPr>
          <w:rFonts w:ascii="Times New Roman" w:cs="Times New Roman" w:eastAsia="Times New Roman" w:hAnsi="Times New Roman"/>
          <w:sz w:val="18"/>
          <w:szCs w:val="18"/>
        </w:rPr>
        <w:t xml:space="preserve">Geertz, C. (1973). The Interpretation of Cultures. Basic Books.</w:t>
      </w:r>
    </w:p>
    <w:p>
      <w:pPr>
        <w:spacing w:after="80" w:before="0" w:line="240" w:lineRule="auto"/>
        <w:ind w:left="720" w:hanging="720"/>
        <w:jc w:val="both"/>
      </w:pPr>
      <w:r>
        <w:rPr>
          <w:rFonts w:ascii="Times New Roman" w:cs="Times New Roman" w:eastAsia="Times New Roman" w:hAnsi="Times New Roman"/>
          <w:sz w:val="18"/>
          <w:szCs w:val="18"/>
        </w:rPr>
        <w:t xml:space="preserve">Lethbridge, T. C., Singer, J. e Forward, A. (2005). How software engineers use documentation. IEEE Software, 20(6), 35–39.</w:t>
      </w:r>
    </w:p>
    <w:p>
      <w:pPr>
        <w:spacing w:after="80" w:before="0" w:line="240" w:lineRule="auto"/>
        <w:ind w:left="720" w:hanging="720"/>
        <w:jc w:val="both"/>
      </w:pPr>
      <w:r>
        <w:rPr>
          <w:rFonts w:ascii="Times New Roman" w:cs="Times New Roman" w:eastAsia="Times New Roman" w:hAnsi="Times New Roman"/>
          <w:sz w:val="18"/>
          <w:szCs w:val="18"/>
        </w:rPr>
        <w:t xml:space="preserve">Lincoln, Y. S. e Guba, E. G. (1985). Naturalistic Inquiry. Sage Publications.</w:t>
      </w:r>
    </w:p>
    <w:p>
      <w:pPr>
        <w:spacing w:after="80" w:before="0" w:line="240" w:lineRule="auto"/>
        <w:ind w:left="720" w:hanging="720"/>
        <w:jc w:val="both"/>
      </w:pPr>
      <w:r>
        <w:rPr>
          <w:rFonts w:ascii="Times New Roman" w:cs="Times New Roman" w:eastAsia="Times New Roman" w:hAnsi="Times New Roman"/>
          <w:sz w:val="18"/>
          <w:szCs w:val="18"/>
        </w:rPr>
        <w:t xml:space="preserve">Ralph, P. et al. (2020). Empirical Standards for Software Engineering Research. arXiv:2010.03525.</w:t>
      </w:r>
    </w:p>
    <w:p>
      <w:pPr>
        <w:spacing w:after="80" w:before="0" w:line="240" w:lineRule="auto"/>
        <w:ind w:left="720" w:hanging="720"/>
        <w:jc w:val="both"/>
      </w:pPr>
      <w:r>
        <w:rPr>
          <w:rFonts w:ascii="Times New Roman" w:cs="Times New Roman" w:eastAsia="Times New Roman" w:hAnsi="Times New Roman"/>
          <w:sz w:val="18"/>
          <w:szCs w:val="18"/>
        </w:rPr>
        <w:t xml:space="preserve">Robinson, H., Segal, J. e Sharp, H. (2007). Ethnographically-informed empirical studies of software practice. Information and Software Technology, 49(6), 571–580.</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2026-06-14T18:52:36.595Z</dcterms:created>
  <dcterms:modified xsi:type="dcterms:W3CDTF">2026-06-14T18:52:36.607Z</dcterms:modified>
</cp:coreProperties>
</file>

<file path=docProps/custom.xml><?xml version="1.0" encoding="utf-8"?>
<Properties xmlns="http://schemas.openxmlformats.org/officeDocument/2006/custom-properties" xmlns:vt="http://schemas.openxmlformats.org/officeDocument/2006/docPropsVTypes"/>
</file>