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28"/>
          <w:szCs w:val="28"/>
        </w:rPr>
        <w:t xml:space="preserve">Introdução de IA Generativa em uma Disciplina de Algoritmos: Uma Pesquisa-Ação em Curso de Bacharelado em Computação</w:t>
      </w:r>
    </w:p>
    <w:p>
      <w:pPr>
        <w:spacing w:after="80" w:before="0"/>
        <w:jc w:val="center"/>
      </w:pPr>
      <w:r>
        <w:rPr>
          <w:rFonts w:ascii="Times New Roman" w:cs="Times New Roman" w:eastAsia="Times New Roman" w:hAnsi="Times New Roman"/>
          <w:sz w:val="22"/>
          <w:szCs w:val="22"/>
        </w:rPr>
        <w:t xml:space="preserve">Sérgio Monteiro Figueiredo¹, Aline Torres Bastos²</w:t>
      </w:r>
    </w:p>
    <w:p>
      <w:pPr>
        <w:spacing w:after="40" w:before="0"/>
        <w:jc w:val="center"/>
      </w:pPr>
      <w:r>
        <w:rPr>
          <w:rFonts w:ascii="Times New Roman" w:cs="Times New Roman" w:eastAsia="Times New Roman" w:hAnsi="Times New Roman"/>
          <w:i/>
          <w:iCs/>
          <w:sz w:val="18"/>
          <w:szCs w:val="18"/>
        </w:rPr>
        <w:t xml:space="preserve">¹Departamento de Computação – Universidade F  |  ²Programa de Pós-Graduação em Educação – Universidade F</w:t>
      </w:r>
    </w:p>
    <w:p>
      <w:pPr>
        <w:spacing w:after="160" w:before="0"/>
        <w:jc w:val="center"/>
      </w:pPr>
      <w:r>
        <w:rPr>
          <w:rFonts w:ascii="Times New Roman" w:cs="Times New Roman" w:eastAsia="Times New Roman" w:hAnsi="Times New Roman"/>
          <w:sz w:val="18"/>
          <w:szCs w:val="18"/>
        </w:rPr>
        <w:t xml:space="preserve">s.figueiredo@univ-f.br, a.bastos@univ-f.br</w:t>
      </w:r>
    </w:p>
    <w:p>
      <w:pPr>
        <w:pBdr>
          <w:bottom w:val="single" w:color="333333" w:sz="6" w:space="1"/>
        </w:pBdr>
        <w:spacing w:after="120" w:before="120"/>
      </w:pPr>
      <w:r>
        <w:t xml:space="preserve"/>
      </w:r>
    </w:p>
    <w:p>
      <w:pPr>
        <w:spacing w:after="80" w:before="0" w:line="240" w:lineRule="auto"/>
        <w:jc w:val="both"/>
      </w:pPr>
      <w:r>
        <w:rPr>
          <w:rFonts w:ascii="Times New Roman" w:cs="Times New Roman" w:eastAsia="Times New Roman" w:hAnsi="Times New Roman"/>
          <w:b/>
          <w:bCs/>
          <w:sz w:val="20"/>
          <w:szCs w:val="20"/>
        </w:rPr>
        <w:t xml:space="preserve">Resumo. </w:t>
      </w:r>
      <w:r>
        <w:rPr>
          <w:rFonts w:ascii="Times New Roman" w:cs="Times New Roman" w:eastAsia="Times New Roman" w:hAnsi="Times New Roman"/>
          <w:sz w:val="20"/>
          <w:szCs w:val="20"/>
        </w:rPr>
        <w:t xml:space="preserve">Este artigo relata uma pesquisa-ação conduzida ao longo de dois semestres letivos em uma disciplina de Algoritmos e Estruturas de Dados de um curso de Bacharelado em Ciência da Computação. O estudo investigou como a introdução estruturada de ferramentas de IA generativa — especificamente o uso de LLMs como parceiro de aprendizagem — afeta o desenvolvimento do pensamento algorítmico e a autonomia intelectual dos estudantes. O pesquisador principal era o próprio professor da disciplina, o que caracteriza a pesquisa-ação como intervenção insider: o agente da mudança é simultaneamente pesquisador e participante. O estudo percorreu dois ciclos completos de planejamento–ação–observação–reflexão, cada um correspondendo a um semestre letivo. Os resultados indicam que a introdução não estruturada de LLMs tende a substituir o processo de aprendizagem; a introdução estruturada, com protocolo de resistência epistêmica, preserva o pensamento algorítmico enquanto reduz a ansiedade dos estudantes diante de problemas novos. Este artigo foi construído com apoio de um modelo de linguagem de grande escala (LLM) com o objetivo de exemplificar as características do método pesquisa-ação para fins didáticos em cursos de pós-graduação em Computação.</w:t>
      </w:r>
    </w:p>
    <w:p>
      <w:pPr>
        <w:spacing w:after="160" w:before="0" w:line="240" w:lineRule="auto"/>
        <w:jc w:val="both"/>
      </w:pPr>
      <w:r>
        <w:rPr>
          <w:rFonts w:ascii="Times New Roman" w:cs="Times New Roman" w:eastAsia="Times New Roman" w:hAnsi="Times New Roman"/>
          <w:b/>
          <w:bCs/>
          <w:sz w:val="20"/>
          <w:szCs w:val="20"/>
        </w:rPr>
        <w:t xml:space="preserve">Palavras-chave. </w:t>
      </w:r>
      <w:r>
        <w:rPr>
          <w:rFonts w:ascii="Times New Roman" w:cs="Times New Roman" w:eastAsia="Times New Roman" w:hAnsi="Times New Roman"/>
          <w:sz w:val="20"/>
          <w:szCs w:val="20"/>
        </w:rPr>
        <w:t xml:space="preserve">Pesquisa-Ação; IA Generativa; Ensino de Algoritmos; Pensamento Computacional; Educação em Computação.</w:t>
      </w:r>
    </w:p>
    <w:p>
      <w:pPr>
        <w:pBdr>
          <w:bottom w:val="single" w:color="333333" w:sz="6" w:space="1"/>
        </w:pBdr>
        <w:spacing w:after="120" w:before="120"/>
      </w:pPr>
      <w:r>
        <w:t xml:space="preserve"/>
      </w:r>
    </w:p>
    <w:p>
      <w:pPr>
        <w:spacing w:after="120" w:before="240" w:line="240" w:lineRule="auto"/>
        <w:jc w:val="left"/>
      </w:pPr>
      <w:r>
        <w:rPr>
          <w:rFonts w:ascii="Times New Roman" w:cs="Times New Roman" w:eastAsia="Times New Roman" w:hAnsi="Times New Roman"/>
          <w:b/>
          <w:bCs/>
          <w:sz w:val="22"/>
          <w:szCs w:val="22"/>
        </w:rPr>
        <w:t xml:space="preserve">1. INTRODUÇÃO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chegada de ferramentas de IA generativa acessíveis ao contexto universitário criou um dilema pedagógico imediato para docentes de disciplinas de programação: proibir o uso e arriscar que os estudantes o façam às escondidas, ou permitir sem estrutura e observar a degradação do processo de aprendizagem. Nenhuma dessas opções é satisfatória. A primeira ignora que os estudantes já têm acesso às ferramentas fora da sala de aula; a segunda entrega o processo de aprendizagem a uma lógica de consumo de respostas que compromete exatamente a habilidade que a disciplina de algoritmos existe para desenvolver: a capacidade de decompor problemas e construir soluções de forma autônoma.</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Esta situação não era hipotética. No primeiro semestre de 2023, o professor da disciplina de Algoritmos e Estruturas de Dados — autor principal deste estudo — observou que um número crescente de estudantes entregava soluções de programação funcionalmente corretas mas que não conseguiam explicar durante as avaliações. O padrão era consistente: código bem formatado, com comentários gerados automaticamente, que o estudante não conseguia depurar quando apresentava comportamento inesperado. Era, em outros termos, código sem compreensão.</w:t>
      </w:r>
    </w:p>
    <w:p>
      <w:pPr>
        <w:spacing w:after="120" w:before="0" w:line="240" w:lineRule="auto"/>
        <w:jc w:val="both"/>
      </w:pPr>
      <w:r>
        <w:rPr>
          <w:rFonts w:ascii="Times New Roman" w:cs="Times New Roman" w:eastAsia="Times New Roman" w:hAnsi="Times New Roman"/>
          <w:b w:val="false"/>
          <w:bCs w:val="false"/>
          <w:i/>
          <w:iCs/>
          <w:sz w:val="18"/>
          <w:szCs w:val="18"/>
        </w:rPr>
        <w:t xml:space="preserve">Nota sobre este artigo: Este texto foi construído com apoio de um modelo de linguagem de grande escala (LLM) com propósito exclusivamente didático. Os dados apresentados são fictícios. O objetivo é exemplificar as características do método pesquisa-ação — especialmente os ciclos de planejamento, ação, observação e reflexão, e o papel do pesquisador como agente de mudança — para leitores que estão conhecendo o método pela primeira vez.</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pesquisa-ação é o método adequado para essa situação precisamente porque o problema é real, imediato e pertence ao contexto do próprio pesquisador. Não faria sentido construir um experimento controlado em laboratório para investigar um problema que está acontecendo agora, nesta turma, com estes estudantes. Tampouco faria sentido um survey que mapeasse percepções sem intervir. O pesquisador-professor tem um problema prático que precisa de solução — e essa solução, se construída e documentada de forma sistemática e reflexiva, produz conhecimento relevante para outros na mesma situação.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Este estudo é guiado pelas seguintes questões de pesquisa:</w:t>
      </w:r>
    </w:p>
    <w:p>
      <w:pPr>
        <w:spacing w:after="0" w:before="40"/>
      </w:pPr>
      <w:r>
        <w:t xml:space="preserve"/>
      </w:r>
    </w:p>
    <w:p>
      <w:pPr>
        <w:shd w:fill="EBF5FB" w:val="clear"/>
        <w:spacing w:after="40" w:before="40" w:line="240" w:lineRule="auto"/>
        <w:ind w:left="360" w:right="360"/>
        <w:jc w:val="both"/>
      </w:pPr>
      <w:r>
        <w:rPr>
          <w:rFonts w:ascii="Times New Roman" w:cs="Times New Roman" w:eastAsia="Times New Roman" w:hAnsi="Times New Roman"/>
          <w:sz w:val="20"/>
          <w:szCs w:val="20"/>
        </w:rPr>
        <w:t xml:space="preserve">RQ1: De que forma a introdução não estruturada de LLMs afeta o desenvolvimento do pensamento algorítmico em estudantes de primeiro e segundo ano?</w:t>
      </w:r>
    </w:p>
    <w:p>
      <w:pPr>
        <w:shd w:fill="EBF5FB" w:val="clear"/>
        <w:spacing w:after="40" w:before="40" w:line="240" w:lineRule="auto"/>
        <w:ind w:left="360" w:right="360"/>
        <w:jc w:val="both"/>
      </w:pPr>
      <w:r>
        <w:rPr>
          <w:rFonts w:ascii="Times New Roman" w:cs="Times New Roman" w:eastAsia="Times New Roman" w:hAnsi="Times New Roman"/>
          <w:sz w:val="20"/>
          <w:szCs w:val="20"/>
        </w:rPr>
        <w:t xml:space="preserve">RQ2: Um protocolo de uso estruturado de LLMs — baseado em resistência epistêmica — preserva o desenvolvimento do pensamento algorítmico enquanto reduz a ansiedade dos estudantes?</w:t>
      </w:r>
    </w:p>
    <w:p>
      <w:pPr>
        <w:shd w:fill="EBF5FB" w:val="clear"/>
        <w:spacing w:after="40" w:before="40" w:line="240" w:lineRule="auto"/>
        <w:ind w:left="360" w:right="360"/>
        <w:jc w:val="both"/>
      </w:pPr>
      <w:r>
        <w:rPr>
          <w:rFonts w:ascii="Times New Roman" w:cs="Times New Roman" w:eastAsia="Times New Roman" w:hAnsi="Times New Roman"/>
          <w:sz w:val="20"/>
          <w:szCs w:val="20"/>
        </w:rPr>
        <w:t xml:space="preserve">RQ3: Quais condições contextuais (perfil dos estudantes, tipo de problema, momento da disciplina) modulam os efeitos da intervenção?</w:t>
      </w:r>
    </w:p>
    <w:p>
      <w:pPr>
        <w:spacing w:after="0" w:before="80"/>
      </w:pPr>
      <w:r>
        <w:t xml:space="preserve"/>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RQ1 é uma pergunta de processo — como algo ocorre — que orienta o primeiro ciclo da pesquisa-ação. RQ2 é uma pergunta de design: ela pressupõe que existe um problema (RQ1) e pergunta se uma solução específica funciona. RQ3 é uma pergunta de condição: reconhece que a intervenção não opera em vácuo e busca identificar fatores moderadores. Juntas, as três RQs descrevem o arco típico da pesquisa-ação: diagnóstico, intervenção, contextualização.</w:t>
      </w:r>
    </w:p>
    <w:p>
      <w:pPr>
        <w:spacing w:after="120" w:before="240" w:line="240" w:lineRule="auto"/>
        <w:jc w:val="left"/>
      </w:pPr>
      <w:r>
        <w:rPr>
          <w:rFonts w:ascii="Times New Roman" w:cs="Times New Roman" w:eastAsia="Times New Roman" w:hAnsi="Times New Roman"/>
          <w:b/>
          <w:bCs/>
          <w:sz w:val="22"/>
          <w:szCs w:val="22"/>
        </w:rPr>
        <w:t xml:space="preserve">2. MÉTODO</w:t>
      </w:r>
    </w:p>
    <w:p>
      <w:pPr>
        <w:spacing w:after="80" w:before="160" w:line="240" w:lineRule="auto"/>
        <w:jc w:val="left"/>
      </w:pPr>
      <w:r>
        <w:rPr>
          <w:rFonts w:ascii="Times New Roman" w:cs="Times New Roman" w:eastAsia="Times New Roman" w:hAnsi="Times New Roman"/>
          <w:b/>
          <w:bCs/>
          <w:i/>
          <w:iCs/>
          <w:sz w:val="20"/>
          <w:szCs w:val="20"/>
        </w:rPr>
        <w:t xml:space="preserve">2.1 O que é Pesquisa-Ação e como se distingue de outros métodos</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pesquisa-ação é um método no qual o pesquisador não apenas observa ou mede um fenômeno, mas intervém deliberadamente no contexto estudado para transformá-lo — e estuda essa transformação de forma sistemática. Ela tem raízes no trabalho de Kurt Lewin (1947), que propôs o ciclo espiral de pesquisa-ação como alternativa à pesquisa que produz conhecimento sem mudar a realidade que estuda.</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distinção essencial em relação aos outros métodos desta série é o papel do pesquisador: no survey e no experimento, o pesquisador mantém distância do fenômeno para garantir objetividade. No estudo de caso, o pesquisador observa sem intervir. Na etnografia, o pesquisador participa mas não tem agenda de mudança. Na pesquisa-ação, o pesquisador é deliberadamente um agente de mudança — e essa intervenção é parte constitutiva do método, não uma contaminação a ser controlada.</w:t>
      </w:r>
    </w:p>
    <w:p>
      <w:pPr>
        <w:spacing w:after="60" w:before="120"/>
        <w:jc w:val="center"/>
      </w:pPr>
      <w:r>
        <w:rPr>
          <w:rFonts w:ascii="Times New Roman" w:cs="Times New Roman" w:eastAsia="Times New Roman" w:hAnsi="Times New Roman"/>
          <w:b/>
          <w:bCs/>
          <w:sz w:val="18"/>
          <w:szCs w:val="18"/>
        </w:rPr>
        <w:t xml:space="preserve">Tabela 1. Pesquisa-Ação versus Estudo de Caso versus Etnografia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3538"/>
        <w:gridCol w:w="3538"/>
      </w:tblGrid>
      <w:tr>
        <w:tc>
          <w:tcPr>
            <w:tcW w:type="dxa" w:w="199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Critério</w:t>
            </w:r>
          </w:p>
        </w:tc>
        <w:tc>
          <w:tcPr>
            <w:tcW w:type="dxa" w:w="3538"/>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Pesquisa-Ação</w:t>
            </w:r>
          </w:p>
        </w:tc>
        <w:tc>
          <w:tcPr>
            <w:tcW w:type="dxa" w:w="3538"/>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Estudo de Caso / Etnografia</w:t>
            </w:r>
          </w:p>
        </w:tc>
      </w:tr>
      <w:tr>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Papel do pesquisador</w:t>
            </w:r>
          </w:p>
        </w:tc>
        <w:tc>
          <w:tcPr>
            <w:tcW w:type="dxa" w:w="353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Agente de mudança; intervém deliberadamente</w:t>
            </w:r>
          </w:p>
        </w:tc>
        <w:tc>
          <w:tcPr>
            <w:tcW w:type="dxa" w:w="353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Observador (participante ou não); não tem agenda de mudança</w:t>
            </w:r>
          </w:p>
        </w:tc>
      </w:tr>
      <w:tr>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Objetivo principal</w:t>
            </w:r>
          </w:p>
        </w:tc>
        <w:tc>
          <w:tcPr>
            <w:tcW w:type="dxa" w:w="353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Resolver um problema prático E produzir conhecimento</w:t>
            </w:r>
          </w:p>
        </w:tc>
        <w:tc>
          <w:tcPr>
            <w:tcW w:type="dxa" w:w="353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Compreender um fenômeno em seu contexto</w:t>
            </w:r>
          </w:p>
        </w:tc>
      </w:tr>
      <w:tr>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Temporalidade</w:t>
            </w:r>
          </w:p>
        </w:tc>
        <w:tc>
          <w:tcPr>
            <w:tcW w:type="dxa" w:w="353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Ciclos iterativos de ação e reflexão</w:t>
            </w:r>
          </w:p>
        </w:tc>
        <w:tc>
          <w:tcPr>
            <w:tcW w:type="dxa" w:w="353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Observação longitudinal sem ciclos de intervenção</w:t>
            </w:r>
          </w:p>
        </w:tc>
      </w:tr>
      <w:tr>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Relação com os participantes</w:t>
            </w:r>
          </w:p>
        </w:tc>
        <w:tc>
          <w:tcPr>
            <w:tcW w:type="dxa" w:w="353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Colaborativa; participantes são co-pesquisadores ou problem-owners</w:t>
            </w:r>
          </w:p>
        </w:tc>
        <w:tc>
          <w:tcPr>
            <w:tcW w:type="dxa" w:w="353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Observados; podem ser consultados mas não co-definem a pesquisa</w:t>
            </w:r>
          </w:p>
        </w:tc>
      </w:tr>
      <w:tr>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Validade por</w:t>
            </w:r>
          </w:p>
        </w:tc>
        <w:tc>
          <w:tcPr>
            <w:tcW w:type="dxa" w:w="353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Autenticidade do problema; relevância da solução; rigor reflexivo</w:t>
            </w:r>
          </w:p>
        </w:tc>
        <w:tc>
          <w:tcPr>
            <w:tcW w:type="dxa" w:w="3538"/>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Credibilidade; transferibilidade; confirmabilidade</w:t>
            </w:r>
          </w:p>
        </w:tc>
      </w:tr>
    </w:tbl>
    <w:p>
      <w:pPr>
        <w:spacing w:after="0" w:before="60"/>
      </w:pPr>
      <w:r>
        <w:t xml:space="preserve"/>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confusão mais frequente em ES é entre pesquisa-ação e estudo de caso. A distinção prática: um estudo de caso sobre adoção de IA em sala de aula observaria o fenômeno de fora, sem alterar as condições. Este estudo altera ativamente as condições — introduz um protocolo, mede seus efeitos, ajusta o protocolo, mede novamente. A mudança e sua observação são inseparáveis.</w:t>
      </w:r>
    </w:p>
    <w:p>
      <w:pPr>
        <w:spacing w:after="80" w:before="160" w:line="240" w:lineRule="auto"/>
        <w:jc w:val="left"/>
      </w:pPr>
      <w:r>
        <w:rPr>
          <w:rFonts w:ascii="Times New Roman" w:cs="Times New Roman" w:eastAsia="Times New Roman" w:hAnsi="Times New Roman"/>
          <w:b/>
          <w:bCs/>
          <w:i/>
          <w:iCs/>
          <w:sz w:val="20"/>
          <w:szCs w:val="20"/>
        </w:rPr>
        <w:t xml:space="preserve">2.2 Posicionamento Filosófico: Pragmatismo Crítico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Este estudo adota um posicionamento que poderíamos chamar de pragmatismo crítico. Pragmático porque o critério de verdade é a utilidade: uma intervenção pedagógica é boa se funciona — se produz aprendizagem real, se preserva autonomia intelectual, se é implementável no contexto real da disciplina. Crítico porque não aceita o status quo como ponto neutro de partida: a pergunta não é apenas 'o protocolo funciona?' mas 'funciona para quê e para quem?' — o que inclui questionar se a lógica de 'eficiência' que os LLMs prometem é compatível com os objetivos formativos de uma disciplina de algoritmos.</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Essa postura é diferente do positivismo do experimento controlado, que buscaria testar a hipótese com variáveis controladas e inferir causalidade. É diferente do construtivismo da etnografia, que se contentaria em descrever o fenômeno. O pragmatismo crítico da pesquisa-ação assume que conhecimento e ação são inseparáveis — e que a responsabilidade do pesquisador não termina quando o artigo é publicado.</w:t>
      </w:r>
    </w:p>
    <w:p>
      <w:pPr>
        <w:spacing w:after="80" w:before="160" w:line="240" w:lineRule="auto"/>
        <w:jc w:val="left"/>
      </w:pPr>
      <w:r>
        <w:rPr>
          <w:rFonts w:ascii="Times New Roman" w:cs="Times New Roman" w:eastAsia="Times New Roman" w:hAnsi="Times New Roman"/>
          <w:b/>
          <w:bCs/>
          <w:i/>
          <w:iCs/>
          <w:sz w:val="20"/>
          <w:szCs w:val="20"/>
        </w:rPr>
        <w:t xml:space="preserve">2.3 O Contexto: Disciplina, Estudantes e o Papel Duplo do Pesquisador</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disciplina estudada — Algoritmos e Estruturas de Dados — é obrigatória no segundo período do Bacharelado em Ciência da Computação da Universidade F. Carga horária de 90 horas/semestre. Ementa cobre estruturas de dados lineares e não lineares, algoritmos de ordenação e busca, análise de complexidade e resolução de problemas. O professor (S. Figueiredo) ministra a disciplina há seis anos. A pesquisadora colaboradora (A. Bastos) é especialista em Educação e não tem vínculo com a disciplina — ela atua como trianguladora externa e interlocutora crítica.</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 papel duplo do pesquisador — professor e pesquisador da própria prática — é simultaneamente a principal vantagem e o principal risco do método. Vantagem: acesso privilegiado ao contexto, legitimidade para intervir, capacidade de ajustar a intervenção em tempo real. Risco: viés de confirmação (ver na intervenção o que quer ver), conflito de interesse entre avaliar objetivamente os estudantes e defender os resultados da pesquisa, risco de que a agenda de pesquisa colonize a agenda pedagógica.</w:t>
      </w:r>
    </w:p>
    <w:p>
      <w:pPr>
        <w:shd w:fill="FEF3E2" w:val="clear"/>
        <w:spacing w:after="80" w:before="80" w:line="240" w:lineRule="auto"/>
        <w:ind w:left="360" w:right="360"/>
        <w:jc w:val="both"/>
      </w:pPr>
      <w:r>
        <w:rPr>
          <w:rFonts w:ascii="Times New Roman" w:cs="Times New Roman" w:eastAsia="Times New Roman" w:hAnsi="Times New Roman"/>
          <w:b/>
          <w:bCs/>
          <w:sz w:val="18"/>
          <w:szCs w:val="18"/>
        </w:rPr>
        <w:t xml:space="preserve">Reflexão do pesquisador: </w:t>
      </w:r>
      <w:r>
        <w:rPr>
          <w:rFonts w:ascii="Times New Roman" w:cs="Times New Roman" w:eastAsia="Times New Roman" w:hAnsi="Times New Roman"/>
          <w:sz w:val="18"/>
          <w:szCs w:val="18"/>
        </w:rPr>
        <w:t xml:space="preserve">Ao propor este estudo, percebi que havia um conflito potencial entre o meu papel como professor — que avalia os estudantes e tem poder sobre sua aprovação — e o meu papel como pesquisador — que depende da participação honesta dos estudantes para obter dados válidos. Um estudante que sabe que o professor está estudando a intervenção pode reportar benefícios mesmo se não os percebeu, para não 'decepcionar' o pesquisador. Mitigamos isso por meio da colaboradora externa (A. Bastos) que conduziu todas as entrevistas individuais e garantiu que as falas não seriam identificadas nas análises do professor.</w:t>
      </w:r>
    </w:p>
    <w:p>
      <w:pPr>
        <w:shd w:fill="FEF9E7" w:val="clear"/>
        <w:spacing w:after="80" w:before="80" w:line="240" w:lineRule="auto"/>
        <w:ind w:left="360" w:right="360"/>
        <w:jc w:val="both"/>
      </w:pPr>
      <w:r>
        <w:rPr>
          <w:rFonts w:ascii="Times New Roman" w:cs="Times New Roman" w:eastAsia="Times New Roman" w:hAnsi="Times New Roman"/>
          <w:b/>
          <w:bCs/>
          <w:sz w:val="18"/>
          <w:szCs w:val="18"/>
        </w:rPr>
        <w:t xml:space="preserve">Decisão metodológica: </w:t>
      </w:r>
      <w:r>
        <w:rPr>
          <w:rFonts w:ascii="Times New Roman" w:cs="Times New Roman" w:eastAsia="Times New Roman" w:hAnsi="Times New Roman"/>
          <w:sz w:val="18"/>
          <w:szCs w:val="18"/>
        </w:rPr>
        <w:t xml:space="preserve">A participação na pesquisa foi voluntária e desvinculada da avaliação acadêmica. O protocolo foi aprovado pelo CEP da universidade. Estudantes que não desejassem participar recebiam o mesmo ensino e usavam os mesmos materiais — apenas seus dados não eram incluídos na análise. Isso foi explicitado em duas reuniões antes do início de cada semestre.</w:t>
      </w:r>
    </w:p>
    <w:p>
      <w:pPr>
        <w:spacing w:after="80" w:before="160" w:line="240" w:lineRule="auto"/>
        <w:jc w:val="left"/>
      </w:pPr>
      <w:r>
        <w:rPr>
          <w:rFonts w:ascii="Times New Roman" w:cs="Times New Roman" w:eastAsia="Times New Roman" w:hAnsi="Times New Roman"/>
          <w:b/>
          <w:bCs/>
          <w:i/>
          <w:iCs/>
          <w:sz w:val="20"/>
          <w:szCs w:val="20"/>
        </w:rPr>
        <w:t xml:space="preserve">2.4 O Ciclo da Pesquisa-Ação: Estrutura e Lógica</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pesquisa-ação não segue um protocolo fixo — segue uma lógica de ciclos iterativos. Cada ciclo tem quatro fases que se retroalimentam (Kemmis e McTaggart, 1988):</w:t>
      </w:r>
    </w:p>
    <w:p>
      <w:pPr>
        <w:shd w:fill="EAF6EA" w:val="clear"/>
        <w:spacing w:after="60" w:before="60" w:line="240" w:lineRule="auto"/>
        <w:ind w:left="360" w:right="360"/>
        <w:jc w:val="both"/>
      </w:pPr>
      <w:r>
        <w:rPr>
          <w:rFonts w:ascii="Times New Roman" w:cs="Times New Roman" w:eastAsia="Times New Roman" w:hAnsi="Times New Roman"/>
          <w:b/>
          <w:bCs/>
          <w:sz w:val="20"/>
          <w:szCs w:val="20"/>
        </w:rPr>
        <w:t xml:space="preserve">Planejamento:  </w:t>
      </w:r>
      <w:r>
        <w:rPr>
          <w:rFonts w:ascii="Times New Roman" w:cs="Times New Roman" w:eastAsia="Times New Roman" w:hAnsi="Times New Roman"/>
          <w:sz w:val="20"/>
          <w:szCs w:val="20"/>
        </w:rPr>
        <w:t xml:space="preserve">diagnóstico do problema, definição da intervenção, preparação dos instrumentos de observação.</w:t>
      </w:r>
    </w:p>
    <w:p>
      <w:pPr>
        <w:shd w:fill="EAF6EA" w:val="clear"/>
        <w:spacing w:after="60" w:before="60" w:line="240" w:lineRule="auto"/>
        <w:ind w:left="360" w:right="360"/>
        <w:jc w:val="both"/>
      </w:pPr>
      <w:r>
        <w:rPr>
          <w:rFonts w:ascii="Times New Roman" w:cs="Times New Roman" w:eastAsia="Times New Roman" w:hAnsi="Times New Roman"/>
          <w:b/>
          <w:bCs/>
          <w:sz w:val="20"/>
          <w:szCs w:val="20"/>
        </w:rPr>
        <w:t xml:space="preserve">Ação:  </w:t>
      </w:r>
      <w:r>
        <w:rPr>
          <w:rFonts w:ascii="Times New Roman" w:cs="Times New Roman" w:eastAsia="Times New Roman" w:hAnsi="Times New Roman"/>
          <w:sz w:val="20"/>
          <w:szCs w:val="20"/>
        </w:rPr>
        <w:t xml:space="preserve">implementação da intervenção no contexto real.</w:t>
      </w:r>
    </w:p>
    <w:p>
      <w:pPr>
        <w:shd w:fill="EAF6EA" w:val="clear"/>
        <w:spacing w:after="60" w:before="60" w:line="240" w:lineRule="auto"/>
        <w:ind w:left="360" w:right="360"/>
        <w:jc w:val="both"/>
      </w:pPr>
      <w:r>
        <w:rPr>
          <w:rFonts w:ascii="Times New Roman" w:cs="Times New Roman" w:eastAsia="Times New Roman" w:hAnsi="Times New Roman"/>
          <w:b/>
          <w:bCs/>
          <w:sz w:val="20"/>
          <w:szCs w:val="20"/>
        </w:rPr>
        <w:t xml:space="preserve">Observação:  </w:t>
      </w:r>
      <w:r>
        <w:rPr>
          <w:rFonts w:ascii="Times New Roman" w:cs="Times New Roman" w:eastAsia="Times New Roman" w:hAnsi="Times New Roman"/>
          <w:sz w:val="20"/>
          <w:szCs w:val="20"/>
        </w:rPr>
        <w:t xml:space="preserve">coleta sistemática de dados sobre os efeitos da ação.</w:t>
      </w:r>
    </w:p>
    <w:p>
      <w:pPr>
        <w:shd w:fill="EAF6EA" w:val="clear"/>
        <w:spacing w:after="60" w:before="60" w:line="240" w:lineRule="auto"/>
        <w:ind w:left="360" w:right="360"/>
        <w:jc w:val="both"/>
      </w:pPr>
      <w:r>
        <w:rPr>
          <w:rFonts w:ascii="Times New Roman" w:cs="Times New Roman" w:eastAsia="Times New Roman" w:hAnsi="Times New Roman"/>
          <w:b/>
          <w:bCs/>
          <w:sz w:val="20"/>
          <w:szCs w:val="20"/>
        </w:rPr>
        <w:t xml:space="preserve">Reflexão:  </w:t>
      </w:r>
      <w:r>
        <w:rPr>
          <w:rFonts w:ascii="Times New Roman" w:cs="Times New Roman" w:eastAsia="Times New Roman" w:hAnsi="Times New Roman"/>
          <w:sz w:val="20"/>
          <w:szCs w:val="20"/>
        </w:rPr>
        <w:t xml:space="preserve">análise dos dados, identificação do que funcionou e do que não funcionou, reformulação para o próximo ciclo.</w:t>
      </w:r>
    </w:p>
    <w:p>
      <w:pPr>
        <w:spacing w:after="0" w:before="80"/>
      </w:pPr>
      <w:r>
        <w:t xml:space="preserve"/>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Este estudo percorreu dois ciclos completos, cada um correspondendo a um semestre letivo. O primeiro ciclo teve caráter predominantemente diagnóstico — buscou caracterizar o problema antes de propor solução. O segundo ciclo implementou a intervenção desenvolvida a partir do diagnóstico. A Tabela 2 sintetiza os dois ciclos.</w:t>
      </w:r>
    </w:p>
    <w:p>
      <w:pPr>
        <w:spacing w:after="60" w:before="120"/>
        <w:jc w:val="center"/>
      </w:pPr>
      <w:r>
        <w:rPr>
          <w:rFonts w:ascii="Times New Roman" w:cs="Times New Roman" w:eastAsia="Times New Roman" w:hAnsi="Times New Roman"/>
          <w:b/>
          <w:bCs/>
          <w:sz w:val="18"/>
          <w:szCs w:val="18"/>
        </w:rPr>
        <w:t xml:space="preserve">Tabela 2. Síntese dos Dois Ciclos da Pesquisa-Ação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70"/>
        <w:gridCol w:w="1996"/>
        <w:gridCol w:w="1996"/>
        <w:gridCol w:w="1996"/>
        <w:gridCol w:w="1814"/>
      </w:tblGrid>
      <w:tr>
        <w:tc>
          <w:tcPr>
            <w:tcW w:type="dxa" w:w="127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Ciclo</w:t>
            </w:r>
          </w:p>
        </w:tc>
        <w:tc>
          <w:tcPr>
            <w:tcW w:type="dxa" w:w="199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Foco</w:t>
            </w:r>
          </w:p>
        </w:tc>
        <w:tc>
          <w:tcPr>
            <w:tcW w:type="dxa" w:w="199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Intervenção</w:t>
            </w:r>
          </w:p>
        </w:tc>
        <w:tc>
          <w:tcPr>
            <w:tcW w:type="dxa" w:w="199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Coleta de dados</w:t>
            </w:r>
          </w:p>
        </w:tc>
        <w:tc>
          <w:tcPr>
            <w:tcW w:type="dxa" w:w="1814"/>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Resultado</w:t>
            </w:r>
          </w:p>
        </w:tc>
      </w:tr>
      <w:tr>
        <w:tc>
          <w:tcPr>
            <w:tcW w:type="dxa" w:w="127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1 (2023.1)</w:t>
            </w:r>
          </w:p>
        </w:tc>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Diagnóstico: como os estudantes usam LLMs espontaneamente</w:t>
            </w:r>
          </w:p>
        </w:tc>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Permissão livre de uso de LLMs nas atividades práticas</w:t>
            </w:r>
          </w:p>
        </w:tc>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Observação de aulas, entrevistas, análise de submissões de código</w:t>
            </w:r>
          </w:p>
        </w:tc>
        <w:tc>
          <w:tcPr>
            <w:tcW w:type="dxa" w:w="181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Identificação do padrão de 'código sem compreensão'</w:t>
            </w:r>
          </w:p>
        </w:tc>
      </w:tr>
      <w:tr>
        <w:tc>
          <w:tcPr>
            <w:tcW w:type="dxa" w:w="127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2 (2023.2)</w:t>
            </w:r>
          </w:p>
        </w:tc>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Intervenção: protocolo de resistência epistêmica</w:t>
            </w:r>
          </w:p>
        </w:tc>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Uso de LLMs permitido com protocolo estruturado de 3 etapas</w:t>
            </w:r>
          </w:p>
        </w:tc>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Observação, entrevistas, avaliações de transferência, diário reflexivo</w:t>
            </w:r>
          </w:p>
        </w:tc>
        <w:tc>
          <w:tcPr>
            <w:tcW w:type="dxa" w:w="181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Evidência de preservação do pensamento algorítmico</w:t>
            </w:r>
          </w:p>
        </w:tc>
      </w:tr>
    </w:tbl>
    <w:p>
      <w:pPr>
        <w:spacing w:after="0" w:before="60"/>
      </w:pPr>
      <w:r>
        <w:t xml:space="preserve"/>
      </w:r>
    </w:p>
    <w:p>
      <w:pPr>
        <w:spacing w:after="80" w:before="160" w:line="240" w:lineRule="auto"/>
        <w:jc w:val="left"/>
      </w:pPr>
      <w:r>
        <w:rPr>
          <w:rFonts w:ascii="Times New Roman" w:cs="Times New Roman" w:eastAsia="Times New Roman" w:hAnsi="Times New Roman"/>
          <w:b/>
          <w:bCs/>
          <w:i/>
          <w:iCs/>
          <w:sz w:val="20"/>
          <w:szCs w:val="20"/>
        </w:rPr>
        <w:t xml:space="preserve">2.5 Instrumentos de Coleta de Dados</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coleta de dados seguiu triangulação de fontes múltiplas, conforme recomendado pelo Empirical Standard for Action Research (Ralph et al., 2020). Os instrumentos foram:</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Observação estruturada de aulas: a colaboradora externa assistiu a oito aulas por semestre, usando protocolo de observação focado em momentos de uso de LLMs, reações dos estudantes a bloqueios, e comportamentos de consulta. Suas notas foram compartilhadas semanalmente com o professor-pesquisador em sessões de debriefing.</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Entrevistas individuais: a colaboradora conduziu 12 entrevistas semiestruturadas por semestre com estudantes selecionados por amostragem intencional (diferentes perfis de desempenho, diferentes padrões de uso de LLMs). O roteiro cobria percepções sobre aprendizagem, uso de LLMs e dificuldades específicas.</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Análise de submissões de código: todas as submissões de atividades práticas foram analisadas por dois avaliadores independentes quanto a indicadores de uso de LLM (padrões estilísticos, comentários automáticos, estruturas atípicas) e quanto à presença de 'código sem compreensão' — operacionalizado como submissões que passavam nos testes automatizados mas que o estudante não conseguia modificar corretamente em exercício de extensão.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Avaliações de transferência: ao final de cada bimestre, os estudantes recebiam um problema novo, de nível similar ao estudado, que deveriam resolver em sala sem acesso a LLMs. Esse instrumento foi desenvolvido especificamente para distinguir compreensão genuína de replicação de padrão.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Diário reflexivo do pesquisador: o professor-pesquisador manteve diário semanal registrando observações, decisões tomadas durante a disciplina e questionamentos sobre a intervenção. Esse diário foi compartilhado integralmente com a colaboradora.</w:t>
      </w:r>
    </w:p>
    <w:p>
      <w:pPr>
        <w:spacing w:after="120" w:before="240" w:line="240" w:lineRule="auto"/>
        <w:jc w:val="left"/>
      </w:pPr>
      <w:r>
        <w:rPr>
          <w:rFonts w:ascii="Times New Roman" w:cs="Times New Roman" w:eastAsia="Times New Roman" w:hAnsi="Times New Roman"/>
          <w:b/>
          <w:bCs/>
          <w:sz w:val="22"/>
          <w:szCs w:val="22"/>
        </w:rPr>
        <w:t xml:space="preserve">3. CICLO 1 — DIAGNÓSTICO: O PROBLEMA DO CÓDIGO SEM COMPREENSÃO</w:t>
      </w:r>
    </w:p>
    <w:p>
      <w:pPr>
        <w:spacing w:after="80" w:before="160" w:line="240" w:lineRule="auto"/>
        <w:jc w:val="left"/>
      </w:pPr>
      <w:r>
        <w:rPr>
          <w:rFonts w:ascii="Times New Roman" w:cs="Times New Roman" w:eastAsia="Times New Roman" w:hAnsi="Times New Roman"/>
          <w:b/>
          <w:bCs/>
          <w:i/>
          <w:iCs/>
          <w:sz w:val="20"/>
          <w:szCs w:val="20"/>
        </w:rPr>
        <w:t xml:space="preserve">3.1 Planejamento e Ação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No primeiro ciclo (2023.1), a intervenção foi deliberadamente minimalista: os estudantes foram informados que podiam usar LLMs livremente nas atividades práticas, sem restrições, e que o professor estava estudando os padrões de uso. Nenhum protocolo foi imposto. O objetivo era observar como o uso espontâneo se configurava antes de qualquer intervenção estruturada — um diagnóstico do estado natural.</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Esse design é característico do primeiro ciclo de uma pesquisa-ação: antes de propor uma solução, é necessário compreender o problema em suas condições reais. Propor uma solução antes do diagnóstico é o antipadrão mais comum em intervenções pedagógicas — e é o que separa a pesquisa-ação de uma reforma curricular intuitiva.</w:t>
      </w:r>
    </w:p>
    <w:p>
      <w:pPr>
        <w:spacing w:after="80" w:before="160" w:line="240" w:lineRule="auto"/>
        <w:jc w:val="left"/>
      </w:pPr>
      <w:r>
        <w:rPr>
          <w:rFonts w:ascii="Times New Roman" w:cs="Times New Roman" w:eastAsia="Times New Roman" w:hAnsi="Times New Roman"/>
          <w:b/>
          <w:bCs/>
          <w:i/>
          <w:iCs/>
          <w:sz w:val="20"/>
          <w:szCs w:val="20"/>
        </w:rPr>
        <w:t xml:space="preserve">3.2 Observação: Padrões de Uso Espontâneo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observação do primeiro ciclo revelou três padrões distintos de uso de LLMs pelos estudantes, que nominamos com base nas entrevistas e nas notas de campo:</w:t>
      </w:r>
    </w:p>
    <w:p>
      <w:pPr>
        <w:spacing w:after="60" w:before="120" w:line="240" w:lineRule="auto"/>
        <w:jc w:val="left"/>
      </w:pPr>
      <w:r>
        <w:rPr>
          <w:rFonts w:ascii="Times New Roman" w:cs="Times New Roman" w:eastAsia="Times New Roman" w:hAnsi="Times New Roman"/>
          <w:b/>
          <w:bCs/>
          <w:sz w:val="20"/>
          <w:szCs w:val="20"/>
        </w:rPr>
        <w:t xml:space="preserve">Padrão A — Consulta Pontual (32% dos estudantes observados)</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Estudantes com maior experiência prévia em programação usavam LLMs como consulta pontual: pediam explicações de conceitos, verificavam sintaxe, solicitavam exemplos de uso de bibliotecas específicas. O código final era claramente de autoria do estudante, com o LLM funcionando como referência rápida. Esses estudantes não apresentavam o padrão de 'código sem compreensão' nas avaliações de transferência.</w:t>
      </w:r>
    </w:p>
    <w:p>
      <w:pPr>
        <w:spacing w:after="60" w:before="120" w:line="240" w:lineRule="auto"/>
        <w:jc w:val="left"/>
      </w:pPr>
      <w:r>
        <w:rPr>
          <w:rFonts w:ascii="Times New Roman" w:cs="Times New Roman" w:eastAsia="Times New Roman" w:hAnsi="Times New Roman"/>
          <w:b/>
          <w:bCs/>
          <w:sz w:val="20"/>
          <w:szCs w:val="20"/>
        </w:rPr>
        <w:t xml:space="preserve">Padrão B — Delegação Parcial (41% dos estudantes observados)</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 padrão mais frequente. O estudante iniciava o problema de forma autônoma, chegava a um ponto de bloqueio, delegava a parte bloqueada ao LLM, e retomava o desenvolvimento. O resultado era código híbrido — parte compreendida, parte não. Nas avaliações de transferência, esses estudantes conseguiam modificar as partes de autoria própria mas não as partes geradas pelo LLM.</w:t>
      </w:r>
    </w:p>
    <w:p>
      <w:pPr>
        <w:spacing w:after="60" w:before="120" w:line="240" w:lineRule="auto"/>
        <w:jc w:val="left"/>
      </w:pPr>
      <w:r>
        <w:rPr>
          <w:rFonts w:ascii="Times New Roman" w:cs="Times New Roman" w:eastAsia="Times New Roman" w:hAnsi="Times New Roman"/>
          <w:b/>
          <w:bCs/>
          <w:sz w:val="20"/>
          <w:szCs w:val="20"/>
        </w:rPr>
        <w:t xml:space="preserve">Padrão C — Delegação Total (27% dos estudantes observados)</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 padrão mais problemático. O estudante formulava o problema inteiro ao LLM, recebia uma solução, copiava com ajustes mínimos. O código passava nos testes automatizados. Nas avaliações de transferência, o desempenho era significativamente inferior ao dos outros padrões — esses estudantes não conseguiam modificar ou depurar o código recebido.</w:t>
      </w:r>
    </w:p>
    <w:p>
      <w:pPr>
        <w:spacing w:after="80" w:before="160" w:line="240" w:lineRule="auto"/>
        <w:jc w:val="left"/>
      </w:pPr>
      <w:r>
        <w:rPr>
          <w:rFonts w:ascii="Times New Roman" w:cs="Times New Roman" w:eastAsia="Times New Roman" w:hAnsi="Times New Roman"/>
          <w:b/>
          <w:bCs/>
          <w:i/>
          <w:iCs/>
          <w:sz w:val="20"/>
          <w:szCs w:val="20"/>
        </w:rPr>
        <w:t xml:space="preserve">3.3 Reflexão: O que o Diagnóstico Revela</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 diagnóstico do primeiro ciclo produziu duas conclusões centrais que orientaram o design da intervenção no segundo ciclo. Primeiro: o problema não era o LLM em si, mas a ausência de fricção no processo de uso. O Padrão C se formava porque não havia nenhuma exigência intermediária entre 'formular o problema' e 'receber a solução' — o estudante não precisava pensar antes de delegar. Segundo: os estudantes que usavam LLMs de forma mais saudável (Padrão A) tinham conhecimento técnico suficiente para avaliar as respostas recebidas — eles podiam resistir epistemicamente ao modelo. Os estudantes do Padrão C não tinham esse repertório e aceitavam qualquer resposta coerente como correta.</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intervenção desenhada para o segundo ciclo — o protocolo de resistência epistêmica — nasceu dessa reflexão. Se o problema é a ausência de fricção e de capacidade crítica, a solução não é proibir o LLM, mas estruturar sua consulta de forma que o estudante precise pensar antes, durante e depois da interação com o modelo.</w:t>
      </w:r>
    </w:p>
    <w:p>
      <w:pPr>
        <w:shd w:fill="FEF3E2" w:val="clear"/>
        <w:spacing w:after="80" w:before="80" w:line="240" w:lineRule="auto"/>
        <w:ind w:left="360" w:right="360"/>
        <w:jc w:val="both"/>
      </w:pPr>
      <w:r>
        <w:rPr>
          <w:rFonts w:ascii="Times New Roman" w:cs="Times New Roman" w:eastAsia="Times New Roman" w:hAnsi="Times New Roman"/>
          <w:b/>
          <w:bCs/>
          <w:sz w:val="18"/>
          <w:szCs w:val="18"/>
        </w:rPr>
        <w:t xml:space="preserve">Reflexão do pesquisador: </w:t>
      </w:r>
      <w:r>
        <w:rPr>
          <w:rFonts w:ascii="Times New Roman" w:cs="Times New Roman" w:eastAsia="Times New Roman" w:hAnsi="Times New Roman"/>
          <w:sz w:val="18"/>
          <w:szCs w:val="18"/>
        </w:rPr>
        <w:t xml:space="preserve">O diagnóstico do Ciclo 1 confirmou o que eu suspeitava como professor — mas de uma forma mais nuançada. Eu esperava que o problema fosse binário: usa ou não usa. O que os dados mostraram foi uma distribuição em padrões, com o padrão problemático representando menos de um terço dos estudantes. Isso mudou minha abordagem: em vez de uma intervenção de controle (restringir o uso), o protocolo precisava ser uma intervenção de capacitação (ensinar a usar bem).</w:t>
      </w:r>
    </w:p>
    <w:p>
      <w:pPr>
        <w:spacing w:after="120" w:before="240" w:line="240" w:lineRule="auto"/>
        <w:jc w:val="left"/>
      </w:pPr>
      <w:r>
        <w:rPr>
          <w:rFonts w:ascii="Times New Roman" w:cs="Times New Roman" w:eastAsia="Times New Roman" w:hAnsi="Times New Roman"/>
          <w:b/>
          <w:bCs/>
          <w:sz w:val="22"/>
          <w:szCs w:val="22"/>
        </w:rPr>
        <w:t xml:space="preserve">4. CICLO 2 — INTERVENÇÃO: O PROTOCOLO DE RESISTÊNCIA EPISTÊMICA</w:t>
      </w:r>
    </w:p>
    <w:p>
      <w:pPr>
        <w:spacing w:after="80" w:before="160" w:line="240" w:lineRule="auto"/>
        <w:jc w:val="left"/>
      </w:pPr>
      <w:r>
        <w:rPr>
          <w:rFonts w:ascii="Times New Roman" w:cs="Times New Roman" w:eastAsia="Times New Roman" w:hAnsi="Times New Roman"/>
          <w:b/>
          <w:bCs/>
          <w:i/>
          <w:iCs/>
          <w:sz w:val="20"/>
          <w:szCs w:val="20"/>
        </w:rPr>
        <w:t xml:space="preserve">4.1 Planejamento: O Protocolo de 3 Etapas</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Com base na reflexão do Ciclo 1, desenvolvemos o Protocolo de Resistência Epistêmica (PRE), um conjunto de exigências estruturadas para o uso de LLMs nas atividades práticas. O protocolo tem três etapas obrigatórias, que precisam ser documentadas pelo estudante antes que a submissão seja aceita:</w:t>
      </w:r>
    </w:p>
    <w:p>
      <w:pPr>
        <w:shd w:fill="EAF6EA" w:val="clear"/>
        <w:spacing w:after="60" w:before="60" w:line="240" w:lineRule="auto"/>
        <w:ind w:left="360" w:right="360"/>
        <w:jc w:val="both"/>
      </w:pPr>
      <w:r>
        <w:rPr>
          <w:rFonts w:ascii="Times New Roman" w:cs="Times New Roman" w:eastAsia="Times New Roman" w:hAnsi="Times New Roman"/>
          <w:b/>
          <w:bCs/>
          <w:sz w:val="20"/>
          <w:szCs w:val="20"/>
        </w:rPr>
        <w:t xml:space="preserve">Etapa 1 — Tentativa Própria (mínimo 20 min):  </w:t>
      </w:r>
      <w:r>
        <w:rPr>
          <w:rFonts w:ascii="Times New Roman" w:cs="Times New Roman" w:eastAsia="Times New Roman" w:hAnsi="Times New Roman"/>
          <w:sz w:val="20"/>
          <w:szCs w:val="20"/>
        </w:rPr>
        <w:t xml:space="preserve">Antes de consultar qualquer LLM, o estudante deve registrar sua tentativa de solução — mesmo que incompleta, mesmo que errada. O registro pode ser pseudocódigo, diagrama, comentários em linguagem natural. O objetivo não é que a tentativa seja correta, mas que o estudante articule seu modelo mental do problema.</w:t>
      </w:r>
    </w:p>
    <w:p>
      <w:pPr>
        <w:shd w:fill="EAF6EA" w:val="clear"/>
        <w:spacing w:after="60" w:before="60" w:line="240" w:lineRule="auto"/>
        <w:ind w:left="360" w:right="360"/>
        <w:jc w:val="both"/>
      </w:pPr>
      <w:r>
        <w:rPr>
          <w:rFonts w:ascii="Times New Roman" w:cs="Times New Roman" w:eastAsia="Times New Roman" w:hAnsi="Times New Roman"/>
          <w:b/>
          <w:bCs/>
          <w:sz w:val="20"/>
          <w:szCs w:val="20"/>
        </w:rPr>
        <w:t xml:space="preserve">Etapa 2 — Consulta Estruturada:  </w:t>
      </w:r>
      <w:r>
        <w:rPr>
          <w:rFonts w:ascii="Times New Roman" w:cs="Times New Roman" w:eastAsia="Times New Roman" w:hAnsi="Times New Roman"/>
          <w:sz w:val="20"/>
          <w:szCs w:val="20"/>
        </w:rPr>
        <w:t xml:space="preserve">Ao consultar o LLM, o estudante deve registrar a pergunta exata que fez e a resposta recebida. Além disso, deve escrever em suas próprias palavras o que entendeu da resposta — antes de implementar qualquer coisa.</w:t>
      </w:r>
    </w:p>
    <w:p>
      <w:pPr>
        <w:shd w:fill="EAF6EA" w:val="clear"/>
        <w:spacing w:after="60" w:before="60" w:line="240" w:lineRule="auto"/>
        <w:ind w:left="360" w:right="360"/>
        <w:jc w:val="both"/>
      </w:pPr>
      <w:r>
        <w:rPr>
          <w:rFonts w:ascii="Times New Roman" w:cs="Times New Roman" w:eastAsia="Times New Roman" w:hAnsi="Times New Roman"/>
          <w:b/>
          <w:bCs/>
          <w:sz w:val="20"/>
          <w:szCs w:val="20"/>
        </w:rPr>
        <w:t xml:space="preserve">Etapa 3 — Auditoria da Solução:  </w:t>
      </w:r>
      <w:r>
        <w:rPr>
          <w:rFonts w:ascii="Times New Roman" w:cs="Times New Roman" w:eastAsia="Times New Roman" w:hAnsi="Times New Roman"/>
          <w:sz w:val="20"/>
          <w:szCs w:val="20"/>
        </w:rPr>
        <w:t xml:space="preserve">Após implementar e testar a solução, o estudante deve responder por escrito: (a) o que a solução faz corretamente; (b) o que ela não cobre; (c) qual seria um caso de entrada que a quebraria. Esse exercício de adversarial testing não pode ser realizado com o LLM.</w:t>
      </w:r>
    </w:p>
    <w:p>
      <w:pPr>
        <w:spacing w:after="0" w:before="80"/>
      </w:pPr>
      <w:r>
        <w:t xml:space="preserve"/>
      </w:r>
    </w:p>
    <w:p>
      <w:pPr>
        <w:shd w:fill="FEF9E7" w:val="clear"/>
        <w:spacing w:after="80" w:before="80" w:line="240" w:lineRule="auto"/>
        <w:ind w:left="360" w:right="360"/>
        <w:jc w:val="both"/>
      </w:pPr>
      <w:r>
        <w:rPr>
          <w:rFonts w:ascii="Times New Roman" w:cs="Times New Roman" w:eastAsia="Times New Roman" w:hAnsi="Times New Roman"/>
          <w:b/>
          <w:bCs/>
          <w:sz w:val="18"/>
          <w:szCs w:val="18"/>
        </w:rPr>
        <w:t xml:space="preserve">Decisão metodológica: </w:t>
      </w:r>
      <w:r>
        <w:rPr>
          <w:rFonts w:ascii="Times New Roman" w:cs="Times New Roman" w:eastAsia="Times New Roman" w:hAnsi="Times New Roman"/>
          <w:sz w:val="18"/>
          <w:szCs w:val="18"/>
        </w:rPr>
        <w:t xml:space="preserve">O protocolo foi desenhado para criar fricção produtiva — não para dificultar o aprendizado, mas para impedir a delegação reflexa. A Etapa 1 garante que o estudante tenha um modelo mental do problema antes de ver uma solução. A Etapa 2 garante que a solução recebida passe por um filtro de compreensão antes de ser implementada. A Etapa 3 garante que o estudante seja capaz de avaliar criticamente o que recebeu. Cada etapa ataca um passo diferente do Padrão C.</w:t>
      </w:r>
    </w:p>
    <w:p>
      <w:pPr>
        <w:spacing w:after="80" w:before="160" w:line="240" w:lineRule="auto"/>
        <w:jc w:val="left"/>
      </w:pPr>
      <w:r>
        <w:rPr>
          <w:rFonts w:ascii="Times New Roman" w:cs="Times New Roman" w:eastAsia="Times New Roman" w:hAnsi="Times New Roman"/>
          <w:b/>
          <w:bCs/>
          <w:i/>
          <w:iCs/>
          <w:sz w:val="20"/>
          <w:szCs w:val="20"/>
        </w:rPr>
        <w:t xml:space="preserve">4.2 Ação e Observação: Efeitos do Protocolo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 PRE foi introduzido na primeira semana do segundo semestre, com duas aulas dedicadas à explicação da lógica do protocolo — incluindo a apresentação dos dados diagnósticos do Ciclo 1 para a turma. Essa transparência foi deliberada: mostrar aos estudantes os dados sobre os próprios padrões de uso aumentou a legitimidade da intervenção.</w:t>
      </w:r>
    </w:p>
    <w:p>
      <w:pPr>
        <w:spacing w:after="60" w:before="120"/>
        <w:jc w:val="center"/>
      </w:pPr>
      <w:r>
        <w:rPr>
          <w:rFonts w:ascii="Times New Roman" w:cs="Times New Roman" w:eastAsia="Times New Roman" w:hAnsi="Times New Roman"/>
          <w:b/>
          <w:bCs/>
          <w:sz w:val="18"/>
          <w:szCs w:val="18"/>
        </w:rPr>
        <w:t xml:space="preserve">Tabela 3. Desempenho nas Avaliações de Transferência — Comparação entre Ciclos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47"/>
        <w:gridCol w:w="1814"/>
        <w:gridCol w:w="1814"/>
        <w:gridCol w:w="1996"/>
      </w:tblGrid>
      <w:tr>
        <w:tc>
          <w:tcPr>
            <w:tcW w:type="dxa" w:w="3447"/>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Indicador</w:t>
            </w:r>
          </w:p>
        </w:tc>
        <w:tc>
          <w:tcPr>
            <w:tcW w:type="dxa" w:w="1814"/>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Ciclo 1 (sem PRE)</w:t>
            </w:r>
          </w:p>
        </w:tc>
        <w:tc>
          <w:tcPr>
            <w:tcW w:type="dxa" w:w="1814"/>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Ciclo 2 (com PRE)</w:t>
            </w:r>
          </w:p>
        </w:tc>
        <w:tc>
          <w:tcPr>
            <w:tcW w:type="dxa" w:w="199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Variação</w:t>
            </w:r>
          </w:p>
        </w:tc>
      </w:tr>
      <w:tr>
        <w:tc>
          <w:tcPr>
            <w:tcW w:type="dxa" w:w="3447"/>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Taxa de sucesso nas aval. de transferência</w:t>
            </w:r>
          </w:p>
        </w:tc>
        <w:tc>
          <w:tcPr>
            <w:tcW w:type="dxa" w:w="181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51,3%</w:t>
            </w:r>
          </w:p>
        </w:tc>
        <w:tc>
          <w:tcPr>
            <w:tcW w:type="dxa" w:w="181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68,7%</w:t>
            </w:r>
          </w:p>
        </w:tc>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+17,4 p.p.</w:t>
            </w:r>
          </w:p>
        </w:tc>
      </w:tr>
      <w:tr>
        <w:tc>
          <w:tcPr>
            <w:tcW w:type="dxa" w:w="3447"/>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Estudantes no Padrão C (delegação total)</w:t>
            </w:r>
          </w:p>
        </w:tc>
        <w:tc>
          <w:tcPr>
            <w:tcW w:type="dxa" w:w="181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27,1%</w:t>
            </w:r>
          </w:p>
        </w:tc>
        <w:tc>
          <w:tcPr>
            <w:tcW w:type="dxa" w:w="181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9,4%</w:t>
            </w:r>
          </w:p>
        </w:tc>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−17,7 p.p.</w:t>
            </w:r>
          </w:p>
        </w:tc>
      </w:tr>
      <w:tr>
        <w:tc>
          <w:tcPr>
            <w:tcW w:type="dxa" w:w="3447"/>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Relatos de 'ansiedade alta' diante de prob. novos*</w:t>
            </w:r>
          </w:p>
        </w:tc>
        <w:tc>
          <w:tcPr>
            <w:tcW w:type="dxa" w:w="181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63%</w:t>
            </w:r>
          </w:p>
        </w:tc>
        <w:tc>
          <w:tcPr>
            <w:tcW w:type="dxa" w:w="181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44%</w:t>
            </w:r>
          </w:p>
        </w:tc>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−19 p.p.</w:t>
            </w:r>
          </w:p>
        </w:tc>
      </w:tr>
      <w:tr>
        <w:tc>
          <w:tcPr>
            <w:tcW w:type="dxa" w:w="3447"/>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Relatos de 'sentir que aprendeu de verdade'*</w:t>
            </w:r>
          </w:p>
        </w:tc>
        <w:tc>
          <w:tcPr>
            <w:tcW w:type="dxa" w:w="181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38%</w:t>
            </w:r>
          </w:p>
        </w:tc>
        <w:tc>
          <w:tcPr>
            <w:tcW w:type="dxa" w:w="1814"/>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61%</w:t>
            </w:r>
          </w:p>
        </w:tc>
        <w:tc>
          <w:tcPr>
            <w:tcW w:type="dxa" w:w="199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+23 p.p.</w:t>
            </w:r>
          </w:p>
        </w:tc>
      </w:tr>
    </w:tbl>
    <w:p>
      <w:pPr>
        <w:spacing w:after="80" w:before="40"/>
        <w:jc w:val="left"/>
      </w:pPr>
      <w:r>
        <w:rPr>
          <w:rFonts w:ascii="Times New Roman" w:cs="Times New Roman" w:eastAsia="Times New Roman" w:hAnsi="Times New Roman"/>
          <w:i/>
          <w:iCs/>
          <w:sz w:val="18"/>
          <w:szCs w:val="18"/>
        </w:rPr>
        <w:t xml:space="preserve">* Medido por escala Likert de 5 pontos nas entrevistas de encerramento de semestre.</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Os dados quantitativos sugerem melhora em todos os indicadores monitorados. A redução do Padrão C de 27% para 9% é o dado mais direto — indica que o protocolo efetivamente reduziu a delegação total. O aumento na taxa de sucesso nas avaliações de transferência (+17,4 p.p.) é o indicador de aprendizagem mais robusto, pois é coletado sem LLMs e por avaliadores independentes.</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Os dados qualitativos das entrevistas adicionam textura às tendências quantitativas:</w:t>
      </w:r>
    </w:p>
    <w:p>
      <w:pPr>
        <w:pBdr>
          <w:left w:val="single" w:color="888888" w:sz="8" w:space="4"/>
        </w:pBdr>
        <w:shd w:fill="F8F8F8" w:val="clear"/>
        <w:spacing w:after="60" w:before="60" w:line="240" w:lineRule="auto"/>
        <w:ind w:left="720" w:right="360"/>
        <w:jc w:val="both"/>
      </w:pPr>
      <w:r>
        <w:rPr>
          <w:rFonts w:ascii="Times New Roman" w:cs="Times New Roman" w:eastAsia="Times New Roman" w:hAnsi="Times New Roman"/>
          <w:i/>
          <w:iCs/>
          <w:sz w:val="18"/>
          <w:szCs w:val="18"/>
        </w:rPr>
        <w:t xml:space="preserve">“No começo eu odiava a Etapa 1. Parecia perda de tempo escrever uma solução errada antes de perguntar pro modelo. Mas depois eu percebi que quando eu chegava na resposta do modelo já sabendo onde ia errar, eu entendia muito melhor por que a solução dele funcionava.”</w:t>
      </w:r>
      <w:r>
        <w:rPr>
          <w:rFonts w:ascii="Times New Roman" w:cs="Times New Roman" w:eastAsia="Times New Roman" w:hAnsi="Times New Roman"/>
          <w:b/>
          <w:bCs/>
          <w:sz w:val="18"/>
          <w:szCs w:val="18"/>
        </w:rPr>
        <w:t xml:space="preserve">  — Estudante, 2º período</w:t>
      </w:r>
    </w:p>
    <w:p>
      <w:pPr>
        <w:pBdr>
          <w:left w:val="single" w:color="888888" w:sz="8" w:space="4"/>
        </w:pBdr>
        <w:shd w:fill="F8F8F8" w:val="clear"/>
        <w:spacing w:after="60" w:before="60" w:line="240" w:lineRule="auto"/>
        <w:ind w:left="720" w:right="360"/>
        <w:jc w:val="both"/>
      </w:pPr>
      <w:r>
        <w:rPr>
          <w:rFonts w:ascii="Times New Roman" w:cs="Times New Roman" w:eastAsia="Times New Roman" w:hAnsi="Times New Roman"/>
          <w:i/>
          <w:iCs/>
          <w:sz w:val="18"/>
          <w:szCs w:val="18"/>
        </w:rPr>
        <w:t xml:space="preserve">“A Etapa 3 foi a que mais mudou minha relação com o código. Antes eu testava e entregava. Agora eu fico pensando 'o que quebraria isso?' É um hábito diferente.”</w:t>
      </w:r>
      <w:r>
        <w:rPr>
          <w:rFonts w:ascii="Times New Roman" w:cs="Times New Roman" w:eastAsia="Times New Roman" w:hAnsi="Times New Roman"/>
          <w:b/>
          <w:bCs/>
          <w:sz w:val="18"/>
          <w:szCs w:val="18"/>
        </w:rPr>
        <w:t xml:space="preserve">  — Estudante, 2º período</w:t>
      </w:r>
    </w:p>
    <w:p>
      <w:pPr>
        <w:pBdr>
          <w:left w:val="single" w:color="888888" w:sz="8" w:space="4"/>
        </w:pBdr>
        <w:shd w:fill="F8F8F8" w:val="clear"/>
        <w:spacing w:after="60" w:before="60" w:line="240" w:lineRule="auto"/>
        <w:ind w:left="720" w:right="360"/>
        <w:jc w:val="both"/>
      </w:pPr>
      <w:r>
        <w:rPr>
          <w:rFonts w:ascii="Times New Roman" w:cs="Times New Roman" w:eastAsia="Times New Roman" w:hAnsi="Times New Roman"/>
          <w:i/>
          <w:iCs/>
          <w:sz w:val="18"/>
          <w:szCs w:val="18"/>
        </w:rPr>
        <w:t xml:space="preserve">“Não vou mentir, o protocolo é mais trabalhoso. Mas eu chego nas provas sentindo que entendi o que fiz, não só que resolvi o exercício.”</w:t>
      </w:r>
      <w:r>
        <w:rPr>
          <w:rFonts w:ascii="Times New Roman" w:cs="Times New Roman" w:eastAsia="Times New Roman" w:hAnsi="Times New Roman"/>
          <w:b/>
          <w:bCs/>
          <w:sz w:val="18"/>
          <w:szCs w:val="18"/>
        </w:rPr>
        <w:t xml:space="preserve">  — Estudante, 2º período</w:t>
      </w:r>
    </w:p>
    <w:p>
      <w:pPr>
        <w:spacing w:after="80" w:before="160" w:line="240" w:lineRule="auto"/>
        <w:jc w:val="left"/>
      </w:pPr>
      <w:r>
        <w:rPr>
          <w:rFonts w:ascii="Times New Roman" w:cs="Times New Roman" w:eastAsia="Times New Roman" w:hAnsi="Times New Roman"/>
          <w:b/>
          <w:bCs/>
          <w:i/>
          <w:iCs/>
          <w:sz w:val="20"/>
          <w:szCs w:val="20"/>
        </w:rPr>
        <w:t xml:space="preserve">4.3 Reflexão: O que o Segundo Ciclo Ensinou</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 Ciclo 2 produziu evidência de que a intervenção funcionou — mas também revelou condições e limites não antecipados no planejamento. Três achados merecem destaque.</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Primeiro: o protocolo foi mais efetivo para estudantes que já tinham algum repertório de programação (Padrão B) do que para iniciantes absolutos. Para estudantes com pouco ou nenhum conhecimento prévio, a Etapa 1 era frequentemente bloqueante — eles não conseguiam produzir nem uma tentativa, o que gerava frustração paralisante em vez de fricção produtiva. Esse achado sugere que o PRE precisa de adaptação para o início do semestre.</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Segundo: a Etapa 3 (auditoria) foi a mais transformadora nas entrevistas, mas também a mais difícil de avaliar sistematicamente — a qualidade das respostas variava enormemente e exigia julgamento qualitativo do professor. Isso cria uma tensão entre o rigor avaliativo e a escalabilidade do protocolo para turmas grandes.</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Terceiro: houve resistência inicial de parte dos estudantes ao protocolo, especialmente à exigência de documentar a tentativa própria. A apresentação transparente dos dados diagnósticos do Ciclo 1 reduziu essa resistência — mas não a eliminou. Estudantes que percebiam o protocolo como burocracia cumpriam a forma sem o espírito: produziam tentativas próprias mínimas apenas para cumprir o requisito.</w:t>
      </w:r>
    </w:p>
    <w:p>
      <w:pPr>
        <w:shd w:fill="FEF3E2" w:val="clear"/>
        <w:spacing w:after="80" w:before="80" w:line="240" w:lineRule="auto"/>
        <w:ind w:left="360" w:right="360"/>
        <w:jc w:val="both"/>
      </w:pPr>
      <w:r>
        <w:rPr>
          <w:rFonts w:ascii="Times New Roman" w:cs="Times New Roman" w:eastAsia="Times New Roman" w:hAnsi="Times New Roman"/>
          <w:b/>
          <w:bCs/>
          <w:sz w:val="18"/>
          <w:szCs w:val="18"/>
        </w:rPr>
        <w:t xml:space="preserve">Reflexão do pesquisador: </w:t>
      </w:r>
      <w:r>
        <w:rPr>
          <w:rFonts w:ascii="Times New Roman" w:cs="Times New Roman" w:eastAsia="Times New Roman" w:hAnsi="Times New Roman"/>
          <w:sz w:val="18"/>
          <w:szCs w:val="18"/>
        </w:rPr>
        <w:t xml:space="preserve">O terceiro achado foi o que mais me incomodou como professor-pesquisador. Faz sentido que alguns estudantes cumpram a forma sem o espírito — é um comportamento racional diante de uma exigência que parece arbitrária. Mas significa que o protocolo, na sua versão atual, ainda não resolveu o problema de raiz: ele criou fricção, mas não necessariamente aprendizagem. O próximo ciclo — se houvesse um Ciclo 3 — precisaria abordar a dimensão motivacional mais diretamente.</w:t>
      </w:r>
    </w:p>
    <w:p>
      <w:pPr>
        <w:spacing w:after="120" w:before="240" w:line="240" w:lineRule="auto"/>
        <w:jc w:val="left"/>
      </w:pPr>
      <w:r>
        <w:rPr>
          <w:rFonts w:ascii="Times New Roman" w:cs="Times New Roman" w:eastAsia="Times New Roman" w:hAnsi="Times New Roman"/>
          <w:b/>
          <w:bCs/>
          <w:sz w:val="22"/>
          <w:szCs w:val="22"/>
        </w:rPr>
        <w:t xml:space="preserve">5. DISCUSSÃO</w:t>
      </w:r>
    </w:p>
    <w:p>
      <w:pPr>
        <w:spacing w:after="80" w:before="160" w:line="240" w:lineRule="auto"/>
        <w:jc w:val="left"/>
      </w:pPr>
      <w:r>
        <w:rPr>
          <w:rFonts w:ascii="Times New Roman" w:cs="Times New Roman" w:eastAsia="Times New Roman" w:hAnsi="Times New Roman"/>
          <w:b/>
          <w:bCs/>
          <w:i/>
          <w:iCs/>
          <w:sz w:val="20"/>
          <w:szCs w:val="20"/>
        </w:rPr>
        <w:t xml:space="preserve">5.1 O que a Pesquisa-Ação Produz que Outros Métodos não Produziriam</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Um experimento controlado que testasse o PRE contra uma condição de controle (sem protocolo) em turmas randomizadas produziria evidência causal mais forte sobre a eficácia do protocolo. Por que então conduzir pesquisa-ação em vez de um experimento? Porque o experimento responderia a uma pergunta diferente: 'o PRE funciona em condições ideais, com amostra controlada?' A pesquisa-ação respondeu: 'o PRE funciona com estes estudantes, nesta disciplina, neste semestre, implementado por este professor?' A segunda pergunta é mais difícil de responder com rigor, mas é a pergunta que importa para um professor que precisa decidir o que fazer na segunda-feira.</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Além disso, o experimento não teria produzido o diagnóstico do Ciclo 1 — que revelou os três padrões de uso e que orientou o design da intervenção. Sem o diagnóstico, a intervenção seria uma aposta sem evidência local. A iteração entre ciclos é uma característica estrutural da pesquisa-ação que não tem equivalente em outros métodos.</w:t>
      </w:r>
    </w:p>
    <w:p>
      <w:pPr>
        <w:spacing w:after="80" w:before="160" w:line="240" w:lineRule="auto"/>
        <w:jc w:val="left"/>
      </w:pPr>
      <w:r>
        <w:rPr>
          <w:rFonts w:ascii="Times New Roman" w:cs="Times New Roman" w:eastAsia="Times New Roman" w:hAnsi="Times New Roman"/>
          <w:b/>
          <w:bCs/>
          <w:i/>
          <w:iCs/>
          <w:sz w:val="20"/>
          <w:szCs w:val="20"/>
        </w:rPr>
        <w:t xml:space="preserve">5.2 A Tensão entre Rigor e Relevância</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crítica mais legítima à pesquisa-ação — especialmente no formato insider, onde o pesquisador é também o agente da mudança — é que ela tem baixo controle sobre ameaças à validade. Não há grupo de controle; o pesquisador conhece os resultados que espera encontrar; a avaliação dos estudantes é feita pelo mesmo professor que planejou a intervenção. Essas são ameaças reais, mitigadas parcialmente pela colaboradora externa e pelas avaliações de transferência com avaliadores independentes, mas não eliminadas.</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resposta metodológica a essa tensão não é negar o problema, mas reconhecê-lo e posicionar o estudo corretamente: a pesquisa-ação produz evidência local, contextualizada, que fundamenta decisões práticas imediatas. Ela não produz lei geral. Para estabelecer que o PRE funciona de forma robusta e generalizável, seria necessário um programa de pesquisa mais amplo — replicações em outros contextos, eventualmente um experimento controlado. A pesquisa-ação é o ponto de partida rigoroso, não o ponto de chegada definitivo.</w:t>
      </w:r>
    </w:p>
    <w:p>
      <w:pPr>
        <w:spacing w:after="120" w:before="240" w:line="240" w:lineRule="auto"/>
        <w:jc w:val="left"/>
      </w:pPr>
      <w:r>
        <w:rPr>
          <w:rFonts w:ascii="Times New Roman" w:cs="Times New Roman" w:eastAsia="Times New Roman" w:hAnsi="Times New Roman"/>
          <w:b/>
          <w:bCs/>
          <w:sz w:val="22"/>
          <w:szCs w:val="22"/>
        </w:rPr>
        <w:t xml:space="preserve">6. LIMITAÇÕES E AMEAÇAS À VALIDADE</w:t>
      </w:r>
    </w:p>
    <w:p>
      <w:pPr>
        <w:spacing w:after="80" w:before="160" w:line="240" w:lineRule="auto"/>
        <w:jc w:val="left"/>
      </w:pPr>
      <w:r>
        <w:rPr>
          <w:rFonts w:ascii="Times New Roman" w:cs="Times New Roman" w:eastAsia="Times New Roman" w:hAnsi="Times New Roman"/>
          <w:b/>
          <w:bCs/>
          <w:i/>
          <w:iCs/>
          <w:sz w:val="20"/>
          <w:szCs w:val="20"/>
        </w:rPr>
        <w:t xml:space="preserve">6.1 Autenticidade do Problema e Autenticidade dos Resultados</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 Empirical Standard for Action Research (Ralph et al., 2020) avalia a qualidade de um estudo de pesquisa-ação por dois critérios centrais de autenticidade: a autenticidade do problema (o problema é real e relevante para os participantes?) e a autenticidade dos resultados (os participantes perceberam mudança real?). Ambos são satisfeitos: o problema do 'código sem compreensão' era real e reconhecido pelos próprios estudantes; as mudanças relatadas nas entrevistas indicam percepção genuína de diferença na aprendizagem.</w:t>
      </w:r>
    </w:p>
    <w:p>
      <w:pPr>
        <w:spacing w:after="80" w:before="160" w:line="240" w:lineRule="auto"/>
        <w:jc w:val="left"/>
      </w:pPr>
      <w:r>
        <w:rPr>
          <w:rFonts w:ascii="Times New Roman" w:cs="Times New Roman" w:eastAsia="Times New Roman" w:hAnsi="Times New Roman"/>
          <w:b/>
          <w:bCs/>
          <w:i/>
          <w:iCs/>
          <w:sz w:val="20"/>
          <w:szCs w:val="20"/>
        </w:rPr>
        <w:t xml:space="preserve">6.2 Viés do Pesquisador-Professor</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 maior risco de validade neste estudo é o viés de confirmação do professor-pesquisador. Mitigamos com colaboradora externa, avaliações cegas e diário reflexivo — mas não eliminamos. Os dados quantitativos (taxa de transferência, proporção de Padrão C) são menos susceptíveis a esse viés do que os dados qualitativos das entrevistas, que passaram pelo filtro interpretativo da colaboradora antes de chegar ao professor.</w:t>
      </w:r>
    </w:p>
    <w:p>
      <w:pPr>
        <w:spacing w:after="80" w:before="160" w:line="240" w:lineRule="auto"/>
        <w:jc w:val="left"/>
      </w:pPr>
      <w:r>
        <w:rPr>
          <w:rFonts w:ascii="Times New Roman" w:cs="Times New Roman" w:eastAsia="Times New Roman" w:hAnsi="Times New Roman"/>
          <w:b/>
          <w:bCs/>
          <w:i/>
          <w:iCs/>
          <w:sz w:val="20"/>
          <w:szCs w:val="20"/>
        </w:rPr>
        <w:t xml:space="preserve">6.3 Generalização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Os resultados são válidos para este contexto específico. A transferibilidade para outras disciplinas, cursos e contextos institucionais é uma hipótese plausível, mas não sustentada pelos dados deste estudo. O protocolo PRE pode funcionar de forma diferente em disciplinas com outros perfis de estudantes ou outros objetivos de aprendizagem.</w:t>
      </w:r>
    </w:p>
    <w:p>
      <w:pPr>
        <w:spacing w:after="120" w:before="240" w:line="240" w:lineRule="auto"/>
        <w:jc w:val="left"/>
      </w:pPr>
      <w:r>
        <w:rPr>
          <w:rFonts w:ascii="Times New Roman" w:cs="Times New Roman" w:eastAsia="Times New Roman" w:hAnsi="Times New Roman"/>
          <w:b/>
          <w:bCs/>
          <w:sz w:val="22"/>
          <w:szCs w:val="22"/>
        </w:rPr>
        <w:t xml:space="preserve">7. CONCLUSÃO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Esta pesquisa-ação em dois ciclos investigou o impacto da introdução de LLMs na disciplina de Algoritmos e Estruturas de Dados, produzindo um diagnóstico dos padrões de uso espontâneo e testando um protocolo de intervenção. O Ciclo 1 revelou três padrões de uso, sendo o mais problemático a delegação total, presente em 27% dos estudantes. O Ciclo 2 testou o Protocolo de Resistência Epistêmica, que reduziu a delegação total para 9% e aumentou em 17,4 pontos percentuais a taxa de sucesso nas avaliações de transferência.</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contribuição principal deste estudo não é a prova de que o PRE funciona universalmente — é a demonstração de que é possível introduzir LLMs de forma estruturada em disciplinas de programação sem abandonar os objetivos formativos de desenvolvimento de pensamento algorítmico. O protocolo é um ponto de partida, não uma solução definitiva: a reflexão do Ciclo 2 revelou limitações para iniciantes absolutos e o problema de cumprimento formal sem engajamento genuíno, que precisam ser abordados em ciclos futuros.</w:t>
      </w:r>
    </w:p>
    <w:p>
      <w:pPr>
        <w:pBdr>
          <w:bottom w:val="single" w:color="333333" w:sz="6" w:space="1"/>
        </w:pBdr>
        <w:spacing w:after="120" w:before="120"/>
      </w:pPr>
      <w:r>
        <w:t xml:space="preserve"/>
      </w:r>
    </w:p>
    <w:p>
      <w:pPr>
        <w:spacing w:after="120" w:before="120"/>
        <w:jc w:val="left"/>
      </w:pPr>
      <w:r>
        <w:rPr>
          <w:rFonts w:ascii="Times New Roman" w:cs="Times New Roman" w:eastAsia="Times New Roman" w:hAnsi="Times New Roman"/>
          <w:b/>
          <w:bCs/>
          <w:sz w:val="22"/>
          <w:szCs w:val="22"/>
        </w:rPr>
        <w:t xml:space="preserve">Perguntas para Reflexão sobre o Método</w:t>
      </w:r>
    </w:p>
    <w:p>
      <w:pPr>
        <w:spacing w:after="120" w:before="0" w:line="240" w:lineRule="auto"/>
        <w:jc w:val="both"/>
      </w:pPr>
      <w:r>
        <w:rPr>
          <w:rFonts w:ascii="Times New Roman" w:cs="Times New Roman" w:eastAsia="Times New Roman" w:hAnsi="Times New Roman"/>
          <w:b w:val="false"/>
          <w:bCs w:val="false"/>
          <w:i/>
          <w:iCs/>
          <w:sz w:val="18"/>
          <w:szCs w:val="18"/>
        </w:rPr>
        <w:t xml:space="preserve">As perguntas a seguir têm como objetivo apoiar a discussão em sala sobre as escolhas e características do método pesquisa-ação conforme exemplificado neste artigo.</w:t>
      </w:r>
    </w:p>
    <w:p>
      <w:pPr>
        <w:spacing w:after="0" w:before="60"/>
      </w:pPr>
      <w:r>
        <w:t xml:space="preserve"/>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O artigo afirma que a pesquisa-ação é o método adequado porque 'o problema é real, imediato e pertence ao contexto do próprio pesquisador'. Compare com o experimento controlado do artigo 2: qual dos dois produziria evidência mais forte sobre a eficácia do protocolo PRE? Qual produziria evidência mais útil para o professor que precisa decidir o que fazer na segunda-feira?</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O pesquisador principal é ao mesmo tempo o professor da disciplina e o agente da intervenção. O artigo lista isso como vantagem e risco. Você consegue pensar em uma situação em que esse papel duplo produziria dados sistematicamente distorcidos — não por má-fé, mas por como a situação é estruturada?</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O Ciclo 1 foi um ciclo diagnóstico sem intervenção estruturada — os estudantes usaram LLMs livremente. O Ciclo 2 foi a intervenção. Por que essa sequência importa? O que teria sido perdido se o pesquisador tivesse pulado o Ciclo 1 e implementado o PRE diretamente no primeiro semestre?</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O terceiro achado do Ciclo 2 mostra que alguns estudantes 'cumpriam a forma sem o espírito' do protocolo. Isso invalida os resultados do estudo? O que o pesquisador deveria fazer com esse dado — ignorá-lo, reportá-lo como limitação, ou redesenhar o protocolo?</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A Tabela 3 mostra melhora em todos os indicadores do Ciclo 1 para o Ciclo 2. Um revisor cético poderia dizer que isso pode ser efeito de aprendizagem natural ao longo do semestre, não do protocolo. Como o design deste estudo permite ou não permite responder a essa crítica? O que seria necessário para descartá-la definitivamente?</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A pesquisa-ação é frequentemente criticada por ter baixo rigor em comparação com o experimento controlado. Depois de ler este artigo e o artigo de experimento, você concorda com essa crítica? Ou são simplesmente padrões de rigor diferentes, aplicados a objetivos diferentes?</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O artigo termina dizendo que o PRE 'é um ponto de partida, não uma solução definitiva'. Que tipo de estudo você desenharia como passo seguinte nesta linha de pesquisa? Seria outro ciclo de pesquisa-ação, um experimento controlado, um survey, ou algo diferente?</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Pense em um problema da sua própria prática de pesquisa ou docência — algo que você gostaria de mudar mas não sabe se a mudança funciona. Esse problema seria adequado para pesquisa-ação? O que tornaria a pesquisa-ação mais ou menos adequada do que outros métodos para investigá-lo?</w:t>
      </w:r>
    </w:p>
    <w:p>
      <w:pPr>
        <w:pBdr>
          <w:bottom w:val="single" w:color="333333" w:sz="6" w:space="1"/>
        </w:pBdr>
        <w:spacing w:after="120" w:before="120"/>
      </w:pPr>
      <w:r>
        <w:t xml:space="preserve"/>
      </w:r>
    </w:p>
    <w:p>
      <w:pPr>
        <w:spacing w:after="80" w:before="120"/>
        <w:jc w:val="left"/>
      </w:pPr>
      <w:r>
        <w:rPr>
          <w:rFonts w:ascii="Times New Roman" w:cs="Times New Roman" w:eastAsia="Times New Roman" w:hAnsi="Times New Roman"/>
          <w:b/>
          <w:bCs/>
          <w:sz w:val="22"/>
          <w:szCs w:val="22"/>
        </w:rPr>
        <w:t xml:space="preserve">Anexo A – Guia de Referência do Método: Pesquisa-Ação</w:t>
      </w:r>
    </w:p>
    <w:p>
      <w:pPr>
        <w:spacing w:after="120" w:before="0" w:line="240" w:lineRule="auto"/>
        <w:jc w:val="both"/>
      </w:pPr>
      <w:r>
        <w:rPr>
          <w:rFonts w:ascii="Times New Roman" w:cs="Times New Roman" w:eastAsia="Times New Roman" w:hAnsi="Times New Roman"/>
          <w:b w:val="false"/>
          <w:bCs w:val="false"/>
          <w:i/>
          <w:iCs/>
          <w:sz w:val="18"/>
          <w:szCs w:val="18"/>
        </w:rPr>
        <w:t xml:space="preserve">Este anexo resume as características essenciais do método pesquisa-ação em Engenharia de Software e Educação em Computação, baseado no ACM SIGSOFT Empirical Standard for Action Research (Ralph et al., 2020) e em Kemmis e McTaggart (1988).</w:t>
      </w:r>
    </w:p>
    <w:p>
      <w:pPr>
        <w:spacing w:after="0" w:before="60"/>
      </w:pPr>
      <w:r>
        <w:t xml:space="preserve"/>
      </w:r>
    </w:p>
    <w:p>
      <w:pPr>
        <w:spacing w:after="40" w:before="80"/>
      </w:pPr>
      <w:r>
        <w:rPr>
          <w:rFonts w:ascii="Times New Roman" w:cs="Times New Roman" w:eastAsia="Times New Roman" w:hAnsi="Times New Roman"/>
          <w:b/>
          <w:bCs/>
          <w:sz w:val="20"/>
          <w:szCs w:val="20"/>
        </w:rPr>
        <w:t xml:space="preserve">O que é a Pesquisa-Ação?</w:t>
      </w:r>
    </w:p>
    <w:p>
      <w:pPr>
        <w:spacing w:after="120" w:before="0" w:line="240" w:lineRule="auto"/>
        <w:jc w:val="both"/>
      </w:pPr>
      <w:r>
        <w:rPr>
          <w:rFonts w:ascii="Times New Roman" w:cs="Times New Roman" w:eastAsia="Times New Roman" w:hAnsi="Times New Roman"/>
          <w:b w:val="false"/>
          <w:bCs w:val="false"/>
          <w:i w:val="false"/>
          <w:iCs w:val="false"/>
          <w:sz w:val="18"/>
          <w:szCs w:val="18"/>
        </w:rPr>
        <w:t xml:space="preserve">Método de pesquisa no qual o pesquisador intervém deliberadamente em um contexto real para transformá-lo, e estuda essa transformação de forma sistemática e reflexiva. O pesquisador é simultaneamente agente de mudança e investigador. O ciclo planejamento→ação→observação→reflexão é o núcleo estrutural do método.</w:t>
      </w:r>
    </w:p>
    <w:p>
      <w:pPr>
        <w:spacing w:after="0" w:before="40"/>
      </w:pPr>
      <w:r>
        <w:t xml:space="preserve"/>
      </w:r>
    </w:p>
    <w:p>
      <w:pPr>
        <w:spacing w:after="40" w:before="80"/>
      </w:pPr>
      <w:r>
        <w:rPr>
          <w:rFonts w:ascii="Times New Roman" w:cs="Times New Roman" w:eastAsia="Times New Roman" w:hAnsi="Times New Roman"/>
          <w:b/>
          <w:bCs/>
          <w:sz w:val="20"/>
          <w:szCs w:val="20"/>
        </w:rPr>
        <w:t xml:space="preserve">Quando Usar e Quando Não Usar a Pesquisa-Ação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USE a Pesquisa-Ação quando...</w:t>
            </w:r>
          </w:p>
        </w:tc>
        <w:tc>
          <w:tcPr>
            <w:tcW w:type="dxa" w:w="453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NÃO USE quando...</w:t>
            </w:r>
          </w:p>
        </w:tc>
      </w:tr>
      <w:tr>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 problema é real, imediato e pertence ao contexto do pesquisador</w:t>
            </w:r>
          </w:p>
        </w:tc>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 problema é hipotético ou o pesquisador é externo ao contexto</w:t>
            </w:r>
          </w:p>
        </w:tc>
      </w:tr>
      <w:tr>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A solução precisa ser desenvolvida iterativamente com os participantes</w:t>
            </w:r>
          </w:p>
        </w:tc>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Você já tem uma solução definida e quer apenas testá-la (use experimento)</w:t>
            </w:r>
          </w:p>
        </w:tc>
      </w:tr>
      <w:tr>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 objetivo é mudar a prática E produzir conhecimento transferível</w:t>
            </w:r>
          </w:p>
        </w:tc>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 objetivo é apenas descrever o fenômeno (use estudo de caso)</w:t>
            </w:r>
          </w:p>
        </w:tc>
      </w:tr>
      <w:tr>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Os participantes podem ser co-pesquisadores ou problem-owners</w:t>
            </w:r>
          </w:p>
        </w:tc>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Os participantes precisam ser tratados como sujeitos neutros de pesquisa</w:t>
            </w:r>
          </w:p>
        </w:tc>
      </w:tr>
      <w:tr>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 contexto não pode ser controlado ou replicado em laboratório</w:t>
            </w:r>
          </w:p>
        </w:tc>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 fenômeno pode ser isolado do contexto sem perda de sentido</w:t>
            </w:r>
          </w:p>
        </w:tc>
      </w:tr>
    </w:tbl>
    <w:p>
      <w:pPr>
        <w:spacing w:after="0" w:before="80"/>
      </w:pPr>
      <w:r>
        <w:t xml:space="preserve"/>
      </w:r>
    </w:p>
    <w:p>
      <w:pPr>
        <w:spacing w:after="40" w:before="80"/>
      </w:pPr>
      <w:r>
        <w:rPr>
          <w:rFonts w:ascii="Times New Roman" w:cs="Times New Roman" w:eastAsia="Times New Roman" w:hAnsi="Times New Roman"/>
          <w:b/>
          <w:bCs/>
          <w:sz w:val="20"/>
          <w:szCs w:val="20"/>
        </w:rPr>
        <w:t xml:space="preserve">Antipadrões Comuns em Pesquisa-Ação em ES/Educação</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Chamar de 'pesquisa-ação' qualquer relato de experiência docente sem ciclos sistemáticos de planejamento, ação, observação e reflexão</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Não distinguir entre o problema autêntico (que os participantes reconhecem como real) e o problema do pesquisador (que ele quer investigar)</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Omitir resultados negativos ou parciais — a pesquisa-ação que sempre 'funciona' é suspeita de seleção de evidências</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Não reportar o papel duplo do pesquisador (insider) e suas implicações para a validade</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Generalizar os resultados além do que o contexto permite — a pesquisa-ação produz evidência local, não lei geral</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Encerrar após um único ciclo — a iteração é estrutural ao método; um único ciclo é diagnóstico, não intervenção completa</w:t>
      </w:r>
    </w:p>
    <w:p>
      <w:pPr>
        <w:spacing w:after="0" w:before="120"/>
      </w:pPr>
      <w:r>
        <w:t xml:space="preserve"/>
      </w:r>
    </w:p>
    <w:p>
      <w:pPr>
        <w:spacing w:after="120" w:before="240" w:line="240" w:lineRule="auto"/>
        <w:jc w:val="left"/>
      </w:pPr>
      <w:r>
        <w:rPr>
          <w:rFonts w:ascii="Times New Roman" w:cs="Times New Roman" w:eastAsia="Times New Roman" w:hAnsi="Times New Roman"/>
          <w:b/>
          <w:bCs/>
          <w:sz w:val="22"/>
          <w:szCs w:val="22"/>
        </w:rPr>
        <w:t xml:space="preserve">REFERÊNCIAS</w:t>
      </w:r>
    </w:p>
    <w:p>
      <w:pPr>
        <w:spacing w:after="80" w:before="0" w:line="240" w:lineRule="auto"/>
        <w:ind w:left="720" w:hanging="720"/>
        <w:jc w:val="both"/>
      </w:pPr>
      <w:r>
        <w:rPr>
          <w:rFonts w:ascii="Times New Roman" w:cs="Times New Roman" w:eastAsia="Times New Roman" w:hAnsi="Times New Roman"/>
          <w:sz w:val="18"/>
          <w:szCs w:val="18"/>
        </w:rPr>
        <w:t xml:space="preserve">Kemmis, S. e McTaggart, R. (1988). The Action Research Planner. 3ª ed. Deakin University Press.</w:t>
      </w:r>
    </w:p>
    <w:p>
      <w:pPr>
        <w:spacing w:after="80" w:before="0" w:line="240" w:lineRule="auto"/>
        <w:ind w:left="720" w:hanging="720"/>
        <w:jc w:val="both"/>
      </w:pPr>
      <w:r>
        <w:rPr>
          <w:rFonts w:ascii="Times New Roman" w:cs="Times New Roman" w:eastAsia="Times New Roman" w:hAnsi="Times New Roman"/>
          <w:sz w:val="18"/>
          <w:szCs w:val="18"/>
        </w:rPr>
        <w:t xml:space="preserve">Lewin, K. (1947). Frontiers in Group Dynamics. Human Relations, 1(2), 143–153.</w:t>
      </w:r>
    </w:p>
    <w:p>
      <w:pPr>
        <w:spacing w:after="80" w:before="0" w:line="240" w:lineRule="auto"/>
        <w:ind w:left="720" w:hanging="720"/>
        <w:jc w:val="both"/>
      </w:pPr>
      <w:r>
        <w:rPr>
          <w:rFonts w:ascii="Times New Roman" w:cs="Times New Roman" w:eastAsia="Times New Roman" w:hAnsi="Times New Roman"/>
          <w:sz w:val="18"/>
          <w:szCs w:val="18"/>
        </w:rPr>
        <w:t xml:space="preserve">Ralph, P. et al. (2020). Empirical Standards for Software Engineering Research. arXiv:2010.03525.</w:t>
      </w:r>
    </w:p>
    <w:p>
      <w:pPr>
        <w:spacing w:after="80" w:before="0" w:line="240" w:lineRule="auto"/>
        <w:ind w:left="720" w:hanging="720"/>
        <w:jc w:val="both"/>
      </w:pPr>
      <w:r>
        <w:rPr>
          <w:rFonts w:ascii="Times New Roman" w:cs="Times New Roman" w:eastAsia="Times New Roman" w:hAnsi="Times New Roman"/>
          <w:sz w:val="18"/>
          <w:szCs w:val="18"/>
        </w:rPr>
        <w:t xml:space="preserve">Baskerville, R. e Wood-Harper, A. T. (1996). A critical perspective on action research as a method for information systems research. Journal of Information Technology, 11(3), 235–246.</w:t>
      </w:r>
    </w:p>
    <w:p>
      <w:pPr>
        <w:spacing w:after="80" w:before="0" w:line="240" w:lineRule="auto"/>
        <w:ind w:left="720" w:hanging="720"/>
        <w:jc w:val="both"/>
      </w:pPr>
      <w:r>
        <w:rPr>
          <w:rFonts w:ascii="Times New Roman" w:cs="Times New Roman" w:eastAsia="Times New Roman" w:hAnsi="Times New Roman"/>
          <w:sz w:val="18"/>
          <w:szCs w:val="18"/>
        </w:rPr>
        <w:t xml:space="preserve">Dittrich, Y. et al. (2008). Cooperative method development. Empirical Software Engineering, 13(3), 231–260.</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2026-06-14T19:17:56.852Z</dcterms:created>
  <dcterms:modified xsi:type="dcterms:W3CDTF">2026-06-14T19:17:56.863Z</dcterms:modified>
</cp:coreProperties>
</file>

<file path=docProps/custom.xml><?xml version="1.0" encoding="utf-8"?>
<Properties xmlns="http://schemas.openxmlformats.org/officeDocument/2006/custom-properties" xmlns:vt="http://schemas.openxmlformats.org/officeDocument/2006/docPropsVTypes"/>
</file>