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AI-Native Hedge Fund: Competitive Landscape, Research Hypotheses, and Test Plan</w:t>
      </w:r>
    </w:p>
    <w:p>
      <w:pPr>
        <w:jc w:val="center"/>
      </w:pPr>
      <w:r>
        <w:rPr>
          <w:i/>
          <w:sz w:val="20"/>
        </w:rPr>
        <w:t>Working research memo | September 2026</w:t>
      </w:r>
    </w:p>
    <w:p>
      <w:pPr>
        <w:spacing w:after="100"/>
      </w:pPr>
      <w:r>
        <w:rPr>
          <w:i w:val="0"/>
        </w:rPr>
        <w:t>Purpose: separate what is already being commoditized in AI-for-investing from the harder, potentially differentiated hypothesis: using a structured economic graph and interacting agents to predict fundamental ripple effects before they are fully reflected in consensus and prices.</w:t>
      </w:r>
    </w:p>
    <w:p>
      <w:pPr>
        <w:pStyle w:val="Heading1"/>
      </w:pPr>
      <w:r>
        <w:t>1. Executive summary</w:t>
      </w:r>
    </w:p>
    <w:p>
      <w:pPr>
        <w:pStyle w:val="ListBullet"/>
        <w:spacing w:after="40"/>
      </w:pPr>
      <w:r>
        <w:t>Existing firms already use LLMs and agents to accelerate the research loop: generate hypotheses, write code, query proprietary data, backtest, and evaluate signals. This is increasingly table stakes rather than a unique startup thesis.</w:t>
      </w:r>
    </w:p>
    <w:p>
      <w:pPr>
        <w:pStyle w:val="ListBullet"/>
        <w:spacing w:after="40"/>
      </w:pPr>
      <w:r>
        <w:t>Supply-chain datasets already support customer/supplier network signals. FactSet’s 2026 work uses customer momentum plus network centrality and sector-neutralization. This is statistical signal propagation, not behavioral or fundamental simulation.</w:t>
      </w:r>
    </w:p>
    <w:p>
      <w:pPr>
        <w:pStyle w:val="ListBullet"/>
        <w:spacing w:after="40"/>
      </w:pPr>
      <w:r>
        <w:t>The differentiated hypothesis is to model economic entities as stateful actors: shock -&gt; supplier response -&gt; customer response -&gt; competitor response -&gt; changes in revenue/margin/EPS -&gt; gap versus consensus expectations.</w:t>
      </w:r>
    </w:p>
    <w:p>
      <w:pPr>
        <w:pStyle w:val="ListBullet"/>
        <w:spacing w:after="40"/>
      </w:pPr>
      <w:r>
        <w:t>The most important falsification test is incremental value: does a RippleSignal predict future analyst revisions, fundamentals, or abnormal returns after controlling for customer momentum, market/sector/factor exposures, and transaction costs?</w:t>
      </w:r>
    </w:p>
    <w:p>
      <w:pPr>
        <w:pStyle w:val="ListBullet"/>
        <w:spacing w:after="40"/>
      </w:pPr>
      <w:r>
        <w:t>The core moat, if it exists, is not “LLMs read filings.” It is a proprietary, point-in-time economic graph plus calibrated response functions, event histories, uncertainty estimates, and a validation system that distinguishes real predictive structure from plausible narratives.</w:t>
      </w:r>
    </w:p>
    <w:p>
      <w:pPr>
        <w:pStyle w:val="Heading1"/>
      </w:pPr>
      <w:r>
        <w:t>2. What other firms are building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t>Organization</w:t>
            </w:r>
          </w:p>
        </w:tc>
        <w:tc>
          <w:tcPr>
            <w:tcW w:type="dxa" w:w="1987"/>
            <w:shd w:fill="D9EAF7"/>
          </w:tcPr>
          <w:p>
            <w:r>
              <w:t>Publicly described system</w:t>
            </w:r>
          </w:p>
        </w:tc>
        <w:tc>
          <w:tcPr>
            <w:tcW w:type="dxa" w:w="1987"/>
            <w:shd w:fill="D9EAF7"/>
          </w:tcPr>
          <w:p>
            <w:r>
              <w:t>What agents/models do</w:t>
            </w:r>
          </w:p>
        </w:tc>
        <w:tc>
          <w:tcPr>
            <w:tcW w:type="dxa" w:w="1987"/>
            <w:shd w:fill="D9EAF7"/>
          </w:tcPr>
          <w:p>
            <w:r>
              <w:t>Relation to ripple thesis</w:t>
            </w:r>
          </w:p>
        </w:tc>
        <w:tc>
          <w:tcPr>
            <w:tcW w:type="dxa" w:w="1987"/>
            <w:shd w:fill="D9EAF7"/>
          </w:tcPr>
          <w:p>
            <w:r>
              <w:t>Main takeaway</w:t>
            </w:r>
          </w:p>
        </w:tc>
      </w:tr>
      <w:tr>
        <w:tc>
          <w:tcPr>
            <w:tcW w:type="dxa" w:w="1987"/>
            <w:vAlign w:val="top"/>
          </w:tcPr>
          <w:p>
            <w:r>
              <w:t>FactSet</w:t>
            </w:r>
          </w:p>
        </w:tc>
        <w:tc>
          <w:tcPr>
            <w:tcW w:type="dxa" w:w="1987"/>
            <w:vAlign w:val="top"/>
          </w:tcPr>
          <w:p>
            <w:r>
              <w:t>Supply-chain customer-momentum research using network centrality</w:t>
            </w:r>
          </w:p>
        </w:tc>
        <w:tc>
          <w:tcPr>
            <w:tcW w:type="dxa" w:w="1987"/>
            <w:vAlign w:val="top"/>
          </w:tcPr>
          <w:p>
            <w:r>
              <w:t>Use customer stock returns and supply-chain graph structure to create a systematic signal; centrality changes weights; sector neutralization removes unintended industry bets.</w:t>
            </w:r>
          </w:p>
        </w:tc>
        <w:tc>
          <w:tcPr>
            <w:tcW w:type="dxa" w:w="1987"/>
            <w:vAlign w:val="top"/>
          </w:tcPr>
          <w:p>
            <w:r>
              <w:t>Medium. Same graph substrate, but no explicit simulation of company decisions, pass-through, lags, or EPS mechanics.</w:t>
            </w:r>
          </w:p>
        </w:tc>
        <w:tc>
          <w:tcPr>
            <w:tcW w:type="dxa" w:w="1987"/>
            <w:vAlign w:val="top"/>
          </w:tcPr>
          <w:p>
            <w:r>
              <w:t>Excellent baseline. A complex agent model must beat this simpler signal after costs.</w:t>
            </w:r>
          </w:p>
        </w:tc>
      </w:tr>
      <w:tr>
        <w:tc>
          <w:tcPr>
            <w:tcW w:type="dxa" w:w="1987"/>
            <w:vAlign w:val="top"/>
          </w:tcPr>
          <w:p>
            <w:r>
              <w:t>Man Group</w:t>
            </w:r>
          </w:p>
        </w:tc>
        <w:tc>
          <w:tcPr>
            <w:tcW w:type="dxa" w:w="1987"/>
            <w:vAlign w:val="top"/>
          </w:tcPr>
          <w:p>
            <w:r>
              <w:t>Alpha Assistant, AlphaGPT, AlphaTrend</w:t>
            </w:r>
          </w:p>
        </w:tc>
        <w:tc>
          <w:tcPr>
            <w:tcW w:type="dxa" w:w="1987"/>
            <w:vAlign w:val="top"/>
          </w:tcPr>
          <w:p>
            <w:r>
              <w:t>Agents generate hypotheses, implement research code, access proprietary research tools/data, and evaluate statistical/economic robustness.</w:t>
            </w:r>
          </w:p>
        </w:tc>
        <w:tc>
          <w:tcPr>
            <w:tcW w:type="dxa" w:w="1987"/>
            <w:vAlign w:val="top"/>
          </w:tcPr>
          <w:p>
            <w:r>
              <w:t>Medium technologically; low conceptually. The agents are researchers studying the market, not entities inside a market simulation.</w:t>
            </w:r>
          </w:p>
        </w:tc>
        <w:tc>
          <w:tcPr>
            <w:tcW w:type="dxa" w:w="1987"/>
            <w:vAlign w:val="top"/>
          </w:tcPr>
          <w:p>
            <w:r>
              <w:t>Agentic quant research is becoming incumbent capability. Do not make this the sole startup differentiation.</w:t>
            </w:r>
          </w:p>
        </w:tc>
      </w:tr>
      <w:tr>
        <w:tc>
          <w:tcPr>
            <w:tcW w:type="dxa" w:w="1987"/>
            <w:vAlign w:val="top"/>
          </w:tcPr>
          <w:p>
            <w:r>
              <w:t>Point72</w:t>
            </w:r>
          </w:p>
        </w:tc>
        <w:tc>
          <w:tcPr>
            <w:tcW w:type="dxa" w:w="1987"/>
            <w:vAlign w:val="top"/>
          </w:tcPr>
          <w:p>
            <w:r>
              <w:t>NLP/AI research team using LLMs, agents, RAG, post-training, textual datasets</w:t>
            </w:r>
          </w:p>
        </w:tc>
        <w:tc>
          <w:tcPr>
            <w:tcW w:type="dxa" w:w="1987"/>
            <w:vAlign w:val="top"/>
          </w:tcPr>
          <w:p>
            <w:r>
              <w:t>Explore rich text, formulate alpha hypotheses, build GenAI research systems, benchmark/post-train models.</w:t>
            </w:r>
          </w:p>
        </w:tc>
        <w:tc>
          <w:tcPr>
            <w:tcW w:type="dxa" w:w="1987"/>
            <w:vAlign w:val="top"/>
          </w:tcPr>
          <w:p>
            <w:r>
              <w:t>Medium. Strong overlap in LLM/data infrastructure; no public evidence of a population-level economic simulator.</w:t>
            </w:r>
          </w:p>
        </w:tc>
        <w:tc>
          <w:tcPr>
            <w:tcW w:type="dxa" w:w="1987"/>
            <w:vAlign w:val="top"/>
          </w:tcPr>
          <w:p>
            <w:r>
              <w:t>Assume top funds can extract text and use agents. Edge must come from model structure/data/evaluation, not generic RAG.</w:t>
            </w:r>
          </w:p>
        </w:tc>
      </w:tr>
      <w:tr>
        <w:tc>
          <w:tcPr>
            <w:tcW w:type="dxa" w:w="1987"/>
            <w:vAlign w:val="top"/>
          </w:tcPr>
          <w:p>
            <w:r>
              <w:t>State Street systematic equity</w:t>
            </w:r>
          </w:p>
        </w:tc>
        <w:tc>
          <w:tcPr>
            <w:tcW w:type="dxa" w:w="1987"/>
            <w:vAlign w:val="top"/>
          </w:tcPr>
          <w:p>
            <w:r>
              <w:t>Customer momentum and other systematic sentiment signals</w:t>
            </w:r>
          </w:p>
        </w:tc>
        <w:tc>
          <w:tcPr>
            <w:tcW w:type="dxa" w:w="1987"/>
            <w:vAlign w:val="top"/>
          </w:tcPr>
          <w:p>
            <w:r>
              <w:t>Use network-linked customer performance as an input to systematic stock selection.</w:t>
            </w:r>
          </w:p>
        </w:tc>
        <w:tc>
          <w:tcPr>
            <w:tcW w:type="dxa" w:w="1987"/>
            <w:vAlign w:val="top"/>
          </w:tcPr>
          <w:p>
            <w:r>
              <w:t>Medium. Demonstrates that network-linked information can remain useful, but not that a causal agent simulation adds value.</w:t>
            </w:r>
          </w:p>
        </w:tc>
        <w:tc>
          <w:tcPr>
            <w:tcW w:type="dxa" w:w="1987"/>
            <w:vAlign w:val="top"/>
          </w:tcPr>
          <w:p>
            <w:r>
              <w:t>Network signals can persist, but simple published effects may decay.</w:t>
            </w:r>
          </w:p>
        </w:tc>
      </w:tr>
      <w:tr>
        <w:tc>
          <w:tcPr>
            <w:tcW w:type="dxa" w:w="1987"/>
            <w:vAlign w:val="top"/>
          </w:tcPr>
          <w:p>
            <w:r>
              <w:t>Population AI / AgentTorch research</w:t>
            </w:r>
          </w:p>
        </w:tc>
        <w:tc>
          <w:tcPr>
            <w:tcW w:type="dxa" w:w="1987"/>
            <w:vAlign w:val="top"/>
          </w:tcPr>
          <w:p>
            <w:r>
              <w:t>Large Population Models and Ripple Effect Protocol</w:t>
            </w:r>
          </w:p>
        </w:tc>
        <w:tc>
          <w:tcPr>
            <w:tcW w:type="dxa" w:w="1987"/>
            <w:vAlign w:val="top"/>
          </w:tcPr>
          <w:p>
            <w:r>
              <w:t>Represent populations as interacting agents and propagate state/sensitivity through networks; optimize or simulate system outcomes.</w:t>
            </w:r>
          </w:p>
        </w:tc>
        <w:tc>
          <w:tcPr>
            <w:tcW w:type="dxa" w:w="1987"/>
            <w:vAlign w:val="top"/>
          </w:tcPr>
          <w:p>
            <w:r>
              <w:t>High conceptual overlap.</w:t>
            </w:r>
          </w:p>
        </w:tc>
        <w:tc>
          <w:tcPr>
            <w:tcW w:type="dxa" w:w="1987"/>
            <w:vAlign w:val="top"/>
          </w:tcPr>
          <w:p>
            <w:r>
              <w:t>Strong architecture inspiration; does not prove stock-market alpha.</w:t>
            </w:r>
          </w:p>
        </w:tc>
      </w:tr>
    </w:tbl>
    <w:p>
      <w:pPr>
        <w:pStyle w:val="Heading1"/>
      </w:pPr>
      <w:r>
        <w:t>3. The differentiated hypothesis</w:t>
      </w:r>
    </w:p>
    <w:p>
      <w:pPr>
        <w:spacing w:after="100"/>
      </w:pPr>
      <w:r>
        <w:rPr>
          <w:i w:val="0"/>
        </w:rPr>
        <w:t>FactSet-style customer momentum compresses many fundamentals into a final market signal:</w:t>
      </w:r>
    </w:p>
    <w:p>
      <w:pPr>
        <w:spacing w:before="80" w:after="120"/>
        <w:jc w:val="center"/>
      </w:pPr>
      <w:r>
        <w:rPr>
          <w:rFonts w:ascii="Cambria Math" w:hAnsi="Cambria Math"/>
          <w:sz w:val="22"/>
        </w:rPr>
        <w:t>Customer news + fundamentals + investor interpretation  -&gt;  customer stock return</w:t>
      </w:r>
    </w:p>
    <w:p>
      <w:pPr>
        <w:spacing w:after="100"/>
      </w:pPr>
      <w:r>
        <w:rPr>
          <w:i w:val="0"/>
        </w:rPr>
        <w:t>That is powerful because the market has already aggregated information. But it is lossy: the same +20% customer return can arise from higher end-demand, layoffs, a buyback, multiple expansion, lower costs, or an unrelated product success. Those cases imply very different consequences for suppliers.</w:t>
      </w:r>
    </w:p>
    <w:p>
      <w:pPr>
        <w:spacing w:after="100"/>
      </w:pPr>
      <w:r>
        <w:rPr>
          <w:i w:val="0"/>
        </w:rPr>
        <w:t>The proposed system tries to recover the mechanism:</w:t>
      </w:r>
    </w:p>
    <w:p>
      <w:pPr>
        <w:spacing w:before="80" w:after="120"/>
        <w:jc w:val="center"/>
      </w:pPr>
      <w:r>
        <w:rPr>
          <w:rFonts w:ascii="Cambria Math" w:hAnsi="Cambria Math"/>
          <w:sz w:val="22"/>
        </w:rPr>
        <w:t>Event -&gt; entity state change -&gt; behavioral response -&gt; network propagation -&gt; ΔRevenue / ΔMargin / ΔEPS -&gt; gap vs. consensus -&gt; position</w:t>
      </w:r>
    </w:p>
    <w:p>
      <w:pPr>
        <w:spacing w:after="100"/>
      </w:pPr>
      <w:r>
        <w:rPr>
          <w:i w:val="0"/>
        </w:rPr>
        <w:t>The key empirical question is not whether the narratives sound right. It is whether the richer mechanism contains incremental predictive information beyond the compressed market signal.</w:t>
      </w:r>
    </w:p>
    <w:p>
      <w:pPr>
        <w:spacing w:before="80" w:after="120"/>
        <w:jc w:val="center"/>
      </w:pPr>
      <w:r>
        <w:rPr>
          <w:rFonts w:ascii="Cambria Math" w:hAnsi="Cambria Math"/>
          <w:sz w:val="22"/>
        </w:rPr>
        <w:t>r(i,t+1) = α + β1·CustomerMomentum(i,t) + β2·RippleSignal(i,t) + controls + ε(i,t)</w:t>
      </w:r>
    </w:p>
    <w:p>
      <w:pPr>
        <w:spacing w:after="100"/>
      </w:pPr>
      <w:r>
        <w:rPr>
          <w:i w:val="0"/>
        </w:rPr>
        <w:t>A useful RippleSignal should remain predictive out of sample when β2 is economically meaningful and stable, and when adding it improves portfolio performance after trading costs and risk controls.</w:t>
      </w:r>
    </w:p>
    <w:p>
      <w:pPr>
        <w:pStyle w:val="Heading1"/>
      </w:pPr>
      <w:r>
        <w:t>4. Research methodology</w:t>
      </w:r>
    </w:p>
    <w:p>
      <w:pPr>
        <w:pStyle w:val="Heading2"/>
      </w:pPr>
      <w:r>
        <w:t>4.1 Build a point-in-time event panel</w:t>
      </w:r>
    </w:p>
    <w:p>
      <w:pPr>
        <w:pStyle w:val="ListBullet"/>
        <w:spacing w:after="40"/>
      </w:pPr>
      <w:r>
        <w:t>Unit of observation: (event, company, timestamp). Avoid training one model per company.</w:t>
      </w:r>
    </w:p>
    <w:p>
      <w:pPr>
        <w:pStyle w:val="ListBullet"/>
        <w:spacing w:after="40"/>
      </w:pPr>
      <w:r>
        <w:t>For each event, freeze the information set exactly as it existed at the decision timestamp to prevent look-ahead leakage.</w:t>
      </w:r>
    </w:p>
    <w:p>
      <w:pPr>
        <w:pStyle w:val="ListBullet"/>
        <w:spacing w:after="40"/>
      </w:pPr>
      <w:r>
        <w:t>Store the graph, company state, evidence, estimated response, confidence, consensus estimates, and subsequent realized outcomes.</w:t>
      </w:r>
    </w:p>
    <w:p>
      <w:pPr>
        <w:pStyle w:val="ListBullet"/>
        <w:spacing w:after="40"/>
      </w:pPr>
      <w:r>
        <w:t>Outcomes should include intermediate fundamentals (revenue/margin/EPS revisions), analyst estimate changes, and market outcomes (risk-adjusted future returns).</w:t>
      </w:r>
    </w:p>
    <w:p>
      <w:pPr>
        <w:pStyle w:val="Heading2"/>
      </w:pPr>
      <w:r>
        <w:t>4.2 New companies and sparse histories</w:t>
      </w:r>
    </w:p>
    <w:p>
      <w:pPr>
        <w:spacing w:after="100"/>
      </w:pPr>
      <w:r>
        <w:rPr>
          <w:i w:val="0"/>
        </w:rPr>
        <w:t>Use cross-sectional learning rather than requiring a 10–20 year history for every stock. A newly public specialty manufacturer can inherit priors from peers with similar industry, contract structure, customer concentration, leverage, input exposure, and substitutability.</w:t>
      </w:r>
    </w:p>
    <w:p>
      <w:pPr>
        <w:spacing w:before="80" w:after="120"/>
        <w:jc w:val="center"/>
      </w:pPr>
      <w:r>
        <w:rPr>
          <w:rFonts w:ascii="Cambria Math" w:hAnsi="Cambria Math"/>
          <w:sz w:val="22"/>
        </w:rPr>
        <w:t>company estimate = λ·company-specific estimate + (1-λ)·peer/industry prior</w:t>
      </w:r>
    </w:p>
    <w:p>
      <w:pPr>
        <w:spacing w:after="100"/>
      </w:pPr>
      <w:r>
        <w:rPr>
          <w:i w:val="0"/>
        </w:rPr>
        <w:t>When history is short, λ should be small. As company-specific evidence accumulates, λ can rise. This is conceptually the same logic used to shrink noisy beta estimates toward industry or market priors.</w:t>
      </w:r>
    </w:p>
    <w:p>
      <w:pPr>
        <w:pStyle w:val="Heading2"/>
      </w:pPr>
      <w:r>
        <w:t>4.3 Time split, not random split</w:t>
      </w:r>
    </w:p>
    <w:p>
      <w:pPr>
        <w:spacing w:before="80" w:after="120"/>
        <w:jc w:val="center"/>
      </w:pPr>
      <w:r>
        <w:rPr>
          <w:rFonts w:ascii="Cambria Math" w:hAnsi="Cambria Math"/>
          <w:sz w:val="22"/>
        </w:rPr>
        <w:t>Train: earlier period  |  Validate: later period  |  Final untouched test: most recent period</w:t>
      </w:r>
    </w:p>
    <w:p>
      <w:pPr>
        <w:spacing w:after="100"/>
      </w:pPr>
      <w:r>
        <w:rPr>
          <w:i w:val="0"/>
        </w:rPr>
        <w:t>A first credible experiment may use 3–5 years if there are many independent events and firms; 5–10 years gives more regimes. More history is not automatically better if the market structure, disclosure regime, or AI capability changed materially.</w:t>
      </w:r>
    </w:p>
    <w:p>
      <w:pPr>
        <w:pStyle w:val="Heading2"/>
      </w:pPr>
      <w:r>
        <w:t>4.4 Baselines that must be beaten</w:t>
      </w:r>
    </w:p>
    <w:p>
      <w:pPr>
        <w:pStyle w:val="ListBullet"/>
        <w:spacing w:after="40"/>
      </w:pPr>
      <w:r>
        <w:t>Customer momentum only.</w:t>
      </w:r>
    </w:p>
    <w:p>
      <w:pPr>
        <w:pStyle w:val="ListBullet"/>
        <w:spacing w:after="40"/>
      </w:pPr>
      <w:r>
        <w:t>Network-centrality-weighted customer momentum.</w:t>
      </w:r>
    </w:p>
    <w:p>
      <w:pPr>
        <w:pStyle w:val="ListBullet"/>
        <w:spacing w:after="40"/>
      </w:pPr>
      <w:r>
        <w:t>Standard factor model / industry-relative model.</w:t>
      </w:r>
    </w:p>
    <w:p>
      <w:pPr>
        <w:pStyle w:val="ListBullet"/>
        <w:spacing w:after="40"/>
      </w:pPr>
      <w:r>
        <w:t>Single LLM + RAG research summary without multi-agent propagation.</w:t>
      </w:r>
    </w:p>
    <w:p>
      <w:pPr>
        <w:pStyle w:val="ListBullet"/>
        <w:spacing w:after="40"/>
      </w:pPr>
      <w:r>
        <w:t>Graph model without LLM response functions.</w:t>
      </w:r>
    </w:p>
    <w:p>
      <w:pPr>
        <w:pStyle w:val="ListBullet"/>
        <w:spacing w:after="40"/>
      </w:pPr>
      <w:r>
        <w:t>Agent system with no multi-hop propagation (direct effects only).</w:t>
      </w:r>
    </w:p>
    <w:p>
      <w:pPr>
        <w:pStyle w:val="Heading1"/>
      </w:pPr>
      <w:r>
        <w:t>5. Risk model and portfolio construction</w:t>
      </w:r>
    </w:p>
    <w:p>
      <w:pPr>
        <w:spacing w:after="100"/>
      </w:pPr>
      <w:r>
        <w:rPr>
          <w:i w:val="0"/>
        </w:rPr>
        <w:t>Keep alpha generation separate from risk control. The alpha model predicts expected residual return; the risk model estimates systematic exposures; the optimizer decides how much to trade.</w:t>
      </w:r>
    </w:p>
    <w:p>
      <w:pPr>
        <w:spacing w:before="80" w:after="120"/>
        <w:jc w:val="center"/>
      </w:pPr>
      <w:r>
        <w:rPr>
          <w:rFonts w:ascii="Cambria Math" w:hAnsi="Cambria Math"/>
          <w:sz w:val="22"/>
        </w:rPr>
        <w:t>maximize_w   α_hatᵀw - λ·wᵀΣw - γ·Turnover(w)</w:t>
      </w:r>
    </w:p>
    <w:p>
      <w:pPr>
        <w:spacing w:after="100"/>
      </w:pPr>
      <w:r>
        <w:rPr>
          <w:i w:val="0"/>
        </w:rPr>
        <w:t>Typical simultaneous constraints can include dollar neutrality, market beta neutrality, sector neutrality, and controlled exposures to value, momentum, size, quality, volatility, liquidity, and other risk factors:</w:t>
      </w:r>
    </w:p>
    <w:p>
      <w:pPr>
        <w:spacing w:before="80" w:after="120"/>
        <w:jc w:val="center"/>
      </w:pPr>
      <w:r>
        <w:rPr>
          <w:rFonts w:ascii="Cambria Math" w:hAnsi="Cambria Math"/>
          <w:sz w:val="22"/>
        </w:rPr>
        <w:t>1ᵀw = 0     and     Bᵀw = target_exposures</w:t>
      </w:r>
    </w:p>
    <w:p>
      <w:pPr>
        <w:spacing w:after="100"/>
      </w:pPr>
      <w:r>
        <w:rPr>
          <w:i w:val="0"/>
        </w:rPr>
        <w:t>Do not neutralize factors sequentially if avoidable. Adjusting one exposure can reintroduce another. Solve the position weights jointly with an optimizer.</w:t>
      </w:r>
    </w:p>
    <w:p>
      <w:pPr>
        <w:pStyle w:val="Heading1"/>
      </w:pPr>
      <w:r>
        <w:t>6. Beta: published beta vs. hedge-fund beta</w:t>
      </w:r>
    </w:p>
    <w:p>
      <w:pPr>
        <w:spacing w:after="100"/>
      </w:pPr>
      <w:r>
        <w:rPr>
          <w:i w:val="0"/>
        </w:rPr>
        <w:t>A public website beta is a backward-looking estimate made with a particular benchmark, sampling frequency, and lookback period. It is useful for rough valuation/finance work and retail context, but a professional trading risk system usually recomputes beta consistently across the entire universe.</w:t>
      </w:r>
    </w:p>
    <w:p>
      <w:pPr>
        <w:spacing w:before="80" w:after="120"/>
        <w:jc w:val="center"/>
      </w:pPr>
      <w:r>
        <w:rPr>
          <w:rFonts w:ascii="Cambria Math" w:hAnsi="Cambria Math"/>
          <w:sz w:val="22"/>
        </w:rPr>
        <w:t>β_i = Cov(R_i, R_M) / Var(R_M)</w:t>
      </w:r>
    </w:p>
    <w:p>
      <w:pPr>
        <w:spacing w:after="100"/>
      </w:pPr>
      <w:r>
        <w:rPr>
          <w:i w:val="0"/>
        </w:rPr>
        <w:t>For new or unstable companies, shrink noisy estimates toward a peer prior. For portfolio hedging, empirical equity beta is usually the relevant quantity because it already reflects the stock’s observed response to market moves, including the effects of leverage and business mix. For fundamental valuation, debt still matters separately because it changes cash-flow claims, interest expense, default risk, WACC, and the mapping from enterprise value to equity value.</w:t>
      </w:r>
    </w:p>
    <w:p>
      <w:pPr>
        <w:pStyle w:val="Heading1"/>
      </w:pPr>
      <w:r>
        <w:t>7. What is worth checking first</w:t>
      </w:r>
    </w:p>
    <w:p>
      <w:pPr>
        <w:pStyle w:val="ListBullet"/>
        <w:spacing w:after="40"/>
      </w:pPr>
      <w:r>
        <w:t>Incremental information: Does RippleSignal add predictive power after customer momentum and known factors?</w:t>
      </w:r>
    </w:p>
    <w:p>
      <w:pPr>
        <w:pStyle w:val="ListBullet"/>
        <w:spacing w:after="40"/>
      </w:pPr>
      <w:r>
        <w:t>Mechanism specificity: Does the model distinguish customer rallies caused by higher demand from rallies caused by cost cuts/buybacks/multiple expansion?</w:t>
      </w:r>
    </w:p>
    <w:p>
      <w:pPr>
        <w:pStyle w:val="ListBullet"/>
        <w:spacing w:after="40"/>
      </w:pPr>
      <w:r>
        <w:t>Intermediate accuracy: Can it predict analyst EPS/revenue/margin revisions before testing stock returns?</w:t>
      </w:r>
    </w:p>
    <w:p>
      <w:pPr>
        <w:pStyle w:val="ListBullet"/>
        <w:spacing w:after="40"/>
      </w:pPr>
      <w:r>
        <w:t>Multi-hop value: Does 2-hop/3-hop propagation beat direct-only effects, or does it just add noise?</w:t>
      </w:r>
    </w:p>
    <w:p>
      <w:pPr>
        <w:pStyle w:val="ListBullet"/>
        <w:spacing w:after="40"/>
      </w:pPr>
      <w:r>
        <w:t>Calibration: Are predicted magnitudes and confidence intervals statistically calibrated?</w:t>
      </w:r>
    </w:p>
    <w:p>
      <w:pPr>
        <w:pStyle w:val="ListBullet"/>
        <w:spacing w:after="40"/>
      </w:pPr>
      <w:r>
        <w:t>Regime stability: Does performance survive tariffs, inflation, recession, AI capex booms, and ordinary periods?</w:t>
      </w:r>
    </w:p>
    <w:p>
      <w:pPr>
        <w:pStyle w:val="ListBullet"/>
        <w:spacing w:after="40"/>
      </w:pPr>
      <w:r>
        <w:t>Ablations: Remove LLMs, remove graph structure, remove sensitivities, remove textual context; identify what creates value.</w:t>
      </w:r>
    </w:p>
    <w:p>
      <w:pPr>
        <w:pStyle w:val="ListBullet"/>
        <w:spacing w:after="40"/>
      </w:pPr>
      <w:r>
        <w:t>Economic viability: Measure turnover, borrow, slippage, liquidity, capacity, and transaction costs from the beginning.</w:t>
      </w:r>
    </w:p>
    <w:p>
      <w:pPr>
        <w:pStyle w:val="Heading1"/>
      </w:pPr>
      <w:r>
        <w:t>8. Main failure modes</w:t>
      </w:r>
    </w:p>
    <w:p>
      <w:pPr>
        <w:pStyle w:val="ListBullet"/>
        <w:spacing w:after="40"/>
      </w:pPr>
      <w:r>
        <w:t>Narrative hallucination: agents produce persuasive causal stories unsupported by evidence.</w:t>
      </w:r>
    </w:p>
    <w:p>
      <w:pPr>
        <w:pStyle w:val="ListBullet"/>
        <w:spacing w:after="40"/>
      </w:pPr>
      <w:r>
        <w:t>Look-ahead contamination: filings, transcripts, analyst revisions, or LLM pretraining leak future information into historical tests.</w:t>
      </w:r>
    </w:p>
    <w:p>
      <w:pPr>
        <w:pStyle w:val="ListBullet"/>
        <w:spacing w:after="40"/>
      </w:pPr>
      <w:r>
        <w:t>Common-factor masquerading as alpha: the system is unintentionally long AI/tech/momentum/value.</w:t>
      </w:r>
    </w:p>
    <w:p>
      <w:pPr>
        <w:pStyle w:val="ListBullet"/>
        <w:spacing w:after="40"/>
      </w:pPr>
      <w:r>
        <w:t>Overfitting the event taxonomy or agent prompts to a small historical sample.</w:t>
      </w:r>
    </w:p>
    <w:p>
      <w:pPr>
        <w:pStyle w:val="ListBullet"/>
        <w:spacing w:after="40"/>
      </w:pPr>
      <w:r>
        <w:t>Signal redundancy: customer stock returns already capture most of the information the expensive simulation reconstructs.</w:t>
      </w:r>
    </w:p>
    <w:p>
      <w:pPr>
        <w:pStyle w:val="ListBullet"/>
        <w:spacing w:after="40"/>
      </w:pPr>
      <w:r>
        <w:t>Propagation explosion: later hops become increasingly uncertain; explicit uncertainty should grow with graph distance.</w:t>
      </w:r>
    </w:p>
    <w:p>
      <w:pPr>
        <w:pStyle w:val="ListBullet"/>
        <w:spacing w:after="40"/>
      </w:pPr>
      <w:r>
        <w:t>Capacity/implementation gap: statistical alpha disappears after spreads, borrow, market impact, and limited liquidity.</w:t>
      </w:r>
    </w:p>
    <w:p>
      <w:pPr>
        <w:pStyle w:val="Heading1"/>
      </w:pPr>
      <w:r>
        <w:t>9. Go / no-go criterion for the startup thesis</w:t>
      </w:r>
    </w:p>
    <w:p>
      <w:pPr>
        <w:spacing w:after="100"/>
      </w:pPr>
      <w:r>
        <w:rPr>
          <w:i w:val="0"/>
        </w:rPr>
        <w:t>A strong result is not “the agents give plausible answers.” A strong result looks like:</w:t>
      </w:r>
    </w:p>
    <w:p>
      <w:pPr>
        <w:spacing w:before="80" w:after="120"/>
        <w:jc w:val="center"/>
      </w:pPr>
      <w:r>
        <w:rPr>
          <w:rFonts w:ascii="Cambria Math" w:hAnsi="Cambria Math"/>
          <w:sz w:val="22"/>
        </w:rPr>
        <w:t>Ripple model &gt; customer momentum + standard factors + single-LLM baseline</w:t>
      </w:r>
    </w:p>
    <w:p>
      <w:pPr>
        <w:spacing w:after="100"/>
      </w:pPr>
      <w:r>
        <w:rPr>
          <w:i w:val="0"/>
        </w:rPr>
        <w:t>on an untouched time period, with meaningful improvement in fundamental forecast accuracy and/or abnormal-return prediction, and with a higher net portfolio Sharpe after costs. If the simpler customer-return signal performs equally well, use the simpler system.</w:t>
      </w:r>
    </w:p>
    <w:p>
      <w:pPr>
        <w:pStyle w:val="Heading1"/>
      </w:pPr>
      <w:r>
        <w:t>10. Public references used for this memo</w:t>
      </w:r>
    </w:p>
    <w:p>
      <w:pPr>
        <w:pStyle w:val="ListBullet"/>
      </w:pPr>
      <w:r>
        <w:t xml:space="preserve">FactSet (Mar. 2, 2026), “Supply Chain Signals: Enhancing the Customer Momentum Strategy with Network Centrality.” </w:t>
      </w:r>
      <w:r>
        <w:t>https://insight.factset.com/supply-chain-signals-enhancing-the-customer-momentum-strategy-with-network-centrality</w:t>
      </w:r>
    </w:p>
    <w:p>
      <w:pPr>
        <w:pStyle w:val="ListBullet"/>
      </w:pPr>
      <w:r>
        <w:t xml:space="preserve">Man Group (Nov. 13, 2025), “What AI Can (and Can’t Yet) Do for Alpha.” </w:t>
      </w:r>
      <w:r>
        <w:t>https://www.man.com/insights/what-ai-can-do-for-alpha</w:t>
      </w:r>
    </w:p>
    <w:p>
      <w:pPr>
        <w:pStyle w:val="ListBullet"/>
      </w:pPr>
      <w:r>
        <w:t xml:space="preserve">Man Group (Feb. 11, 2026), “AlphaTrend and Agentic Research Workflows.” </w:t>
      </w:r>
      <w:r>
        <w:t>https://www.man.com/insights/alphatrend-agentic-research-workflows</w:t>
      </w:r>
    </w:p>
    <w:p>
      <w:pPr>
        <w:pStyle w:val="ListBullet"/>
      </w:pPr>
      <w:r>
        <w:t xml:space="preserve">Man Group, “AI, Agents and Trend / Alpha Assistant.” </w:t>
      </w:r>
      <w:r>
        <w:t>https://www.man.com/insights/ai-agents-trend</w:t>
      </w:r>
    </w:p>
    <w:p>
      <w:pPr>
        <w:pStyle w:val="ListBullet"/>
      </w:pPr>
      <w:r>
        <w:t xml:space="preserve">Point72, “NLP / AI Engineer” public role description. </w:t>
      </w:r>
      <w:r>
        <w:t>https://careers.point72.com/CSJobDetail?jobCode=CSS-0013293&amp;jobName=quantitative-researcher-nlp-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AI-Native Hedge Fund Research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