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Кравчук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сохранённые в рабочем пространстве по итогу лабораторной №1.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Heading1"/>
      </w:pPr>
      <w:bookmarkStart w:id="21" w:name="раздел-i."/>
      <w:r>
        <w:t xml:space="preserve">Раздел I.</w:t>
      </w:r>
      <w:bookmarkEnd w:id="21"/>
    </w:p>
    <w:p>
      <w:pPr>
        <w:pStyle w:val="Heading2"/>
      </w:pPr>
      <w:bookmarkStart w:id="22" w:name="X4fd7b8e34eb466b3fd8bc835302e1712901dae7"/>
      <w:r>
        <w:t xml:space="preserve">Изначальная регрессионная модель, основанная на Лабораторной №1</w:t>
      </w:r>
      <w:bookmarkEnd w:id="22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91450</m:t>
        </m:r>
        <m:r>
          <m:t>,</m:t>
        </m:r>
        <m:r>
          <m:t>5904</m:t>
        </m:r>
        <m:r>
          <m:t>+</m:t>
        </m:r>
        <m:r>
          <m:t>253</m:t>
        </m:r>
        <m:r>
          <m:t>,</m:t>
        </m:r>
        <m:r>
          <m:t>1642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1422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IndProd</w:t>
      </w:r>
      <w:r>
        <w:t xml:space="preserve">) – Среднедушевые денежные доходы населения;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PromPrices</w:t>
      </w:r>
      <w:r>
        <w:t xml:space="preserve">) – ВРП на душу населения;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CapInvests</w:t>
      </w:r>
      <w:r>
        <w:t xml:space="preserve">) – Расходы консолидированных бюджетов субъектов Российской Федерации: на социальную политику;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Heading2"/>
      </w:pPr>
      <w:bookmarkStart w:id="23" w:name="оценка-параметров-этой-модели"/>
      <w:r>
        <w:t xml:space="preserve">Оценка параметров этой модели</w:t>
      </w:r>
      <w:bookmarkEnd w:id="23"/>
    </w:p>
    <w:p>
      <w:pPr>
        <w:pStyle w:val="Heading4"/>
      </w:pPr>
      <w:bookmarkStart w:id="24" w:name="X8641c69e2127bf5ea01e1886d3d33e39df57123"/>
      <w:r>
        <w:t xml:space="preserve">Таблица 1 - описательные статистики модели 1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104.8177</w:t>
            </w:r>
          </w:p>
        </w:tc>
        <w:tc>
          <w:p>
            <w:pPr>
              <w:pStyle w:val="Compact"/>
              <w:jc w:val="right"/>
            </w:pPr>
            <w:r>
              <w:t xml:space="preserve">10.4946</w:t>
            </w:r>
          </w:p>
        </w:tc>
        <w:tc>
          <w:p>
            <w:pPr>
              <w:pStyle w:val="Compact"/>
              <w:jc w:val="right"/>
            </w:pPr>
            <w:r>
              <w:t xml:space="preserve">9.9878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-0.0088</w:t>
            </w:r>
          </w:p>
        </w:tc>
        <w:tc>
          <w:p>
            <w:pPr>
              <w:pStyle w:val="Compact"/>
              <w:jc w:val="right"/>
            </w:pPr>
            <w:r>
              <w:t xml:space="preserve">0.0990</w:t>
            </w:r>
          </w:p>
        </w:tc>
        <w:tc>
          <w:p>
            <w:pPr>
              <w:pStyle w:val="Compact"/>
              <w:jc w:val="right"/>
            </w:pPr>
            <w:r>
              <w:t xml:space="preserve">-0.0893</w:t>
            </w:r>
          </w:p>
        </w:tc>
        <w:tc>
          <w:p>
            <w:pPr>
              <w:pStyle w:val="Compact"/>
              <w:jc w:val="right"/>
            </w:pPr>
            <w:r>
              <w:t xml:space="preserve">0.9291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0.6862</w:t>
            </w:r>
          </w:p>
        </w:tc>
        <w:tc>
          <w:p>
            <w:pPr>
              <w:pStyle w:val="Compact"/>
              <w:jc w:val="right"/>
            </w:pPr>
            <w:r>
              <w:t xml:space="preserve">0.4946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рис.-2.-график-разброса-начальной-модели"/>
      <w:r>
        <w:t xml:space="preserve">Рис. 2. график разброса начальной модели</w:t>
      </w:r>
      <w:bookmarkEnd w:id="26"/>
    </w:p>
    <w:p>
      <w:pPr>
        <w:pStyle w:val="FirstParagraph"/>
      </w:pPr>
      <w:r>
        <w:rPr>
          <w:b/>
        </w:rPr>
        <w:t xml:space="preserve">Проверка значимости для коэффициента при PromPrices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PromPrices =</w:t>
      </w:r>
      <w:r>
        <w:t xml:space="preserve"> </w:t>
      </w:r>
      <m:oMath>
        <m:r>
          <m:t>8</m:t>
        </m:r>
        <m:r>
          <m:t>,</m:t>
        </m:r>
        <m:r>
          <m:t>6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=</m:t>
        </m:r>
        <m:r>
          <m:t>0</m:t>
        </m:r>
        <m:r>
          <m:t>,</m:t>
        </m:r>
        <m:r>
          <m:t>0001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CapInvests.</w:t>
      </w:r>
    </w:p>
    <w:p>
      <w:pPr>
        <w:pStyle w:val="BodyText"/>
      </w:pPr>
      <w:r>
        <w:t xml:space="preserve">P-значение при CapInvests =</w:t>
      </w:r>
      <w:r>
        <w:t xml:space="preserve"> </w:t>
      </w:r>
      <m:oMath>
        <m:r>
          <m:t>6</m:t>
        </m:r>
        <m:r>
          <m:t>,</m:t>
        </m:r>
        <m:r>
          <m:t>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11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0.006.</w:t>
      </w:r>
    </w:p>
    <w:p>
      <w:pPr>
        <w:pStyle w:val="Heading2"/>
      </w:pPr>
      <w:bookmarkStart w:id="27" w:name="Xa66bcbf6631eca86b12a1781562c6bbfe8fbf8a"/>
      <w:r>
        <w:t xml:space="preserve">Модель с переменной структурой по федеральным округам.</w:t>
      </w:r>
      <w:bookmarkEnd w:id="27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8" w:name="X76e4d02da5c97e3882f89161576c1f07f6796e5"/>
      <w:r>
        <w:t xml:space="preserve">Таблица 2 - описательные статистики модели по федеральным округам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60.6910</w:t>
            </w:r>
          </w:p>
        </w:tc>
        <w:tc>
          <w:p>
            <w:pPr>
              <w:pStyle w:val="Compact"/>
              <w:jc w:val="right"/>
            </w:pPr>
            <w:r>
              <w:t xml:space="preserve">98.6413</w:t>
            </w:r>
          </w:p>
        </w:tc>
        <w:tc>
          <w:p>
            <w:pPr>
              <w:pStyle w:val="Compact"/>
              <w:jc w:val="right"/>
            </w:pPr>
            <w:r>
              <w:t xml:space="preserve">0.6153</w:t>
            </w:r>
          </w:p>
        </w:tc>
        <w:tc>
          <w:p>
            <w:pPr>
              <w:pStyle w:val="Compact"/>
              <w:jc w:val="right"/>
            </w:pPr>
            <w:r>
              <w:t xml:space="preserve">0.5407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104.1355</w:t>
            </w:r>
          </w:p>
        </w:tc>
        <w:tc>
          <w:p>
            <w:pPr>
              <w:pStyle w:val="Compact"/>
              <w:jc w:val="right"/>
            </w:pPr>
            <w:r>
              <w:t xml:space="preserve">110.0311</w:t>
            </w:r>
          </w:p>
        </w:tc>
        <w:tc>
          <w:p>
            <w:pPr>
              <w:pStyle w:val="Compact"/>
              <w:jc w:val="right"/>
            </w:pPr>
            <w:r>
              <w:t xml:space="preserve">0.9464</w:t>
            </w:r>
          </w:p>
        </w:tc>
        <w:tc>
          <w:p>
            <w:pPr>
              <w:pStyle w:val="Compact"/>
              <w:jc w:val="right"/>
            </w:pPr>
            <w:r>
              <w:t xml:space="preserve">0.3478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43.1538</w:t>
            </w:r>
          </w:p>
        </w:tc>
        <w:tc>
          <w:p>
            <w:pPr>
              <w:pStyle w:val="Compact"/>
              <w:jc w:val="right"/>
            </w:pPr>
            <w:r>
              <w:t xml:space="preserve">100.3699</w:t>
            </w:r>
          </w:p>
        </w:tc>
        <w:tc>
          <w:p>
            <w:pPr>
              <w:pStyle w:val="Compact"/>
              <w:jc w:val="right"/>
            </w:pPr>
            <w:r>
              <w:t xml:space="preserve">0.4299</w:t>
            </w:r>
          </w:p>
        </w:tc>
        <w:tc>
          <w:p>
            <w:pPr>
              <w:pStyle w:val="Compact"/>
              <w:jc w:val="right"/>
            </w:pPr>
            <w:r>
              <w:t xml:space="preserve">0.6688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-108.6294</w:t>
            </w:r>
          </w:p>
        </w:tc>
        <w:tc>
          <w:p>
            <w:pPr>
              <w:pStyle w:val="Compact"/>
              <w:jc w:val="right"/>
            </w:pPr>
            <w:r>
              <w:t xml:space="preserve">107.4247</w:t>
            </w:r>
          </w:p>
        </w:tc>
        <w:tc>
          <w:p>
            <w:pPr>
              <w:pStyle w:val="Compact"/>
              <w:jc w:val="right"/>
            </w:pPr>
            <w:r>
              <w:t xml:space="preserve">-1.0112</w:t>
            </w:r>
          </w:p>
        </w:tc>
        <w:tc>
          <w:p>
            <w:pPr>
              <w:pStyle w:val="Compact"/>
              <w:jc w:val="right"/>
            </w:pPr>
            <w:r>
              <w:t xml:space="preserve">0.3160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180.8256</w:t>
            </w:r>
          </w:p>
        </w:tc>
        <w:tc>
          <w:p>
            <w:pPr>
              <w:pStyle w:val="Compact"/>
              <w:jc w:val="right"/>
            </w:pPr>
            <w:r>
              <w:t xml:space="preserve">116.5728</w:t>
            </w:r>
          </w:p>
        </w:tc>
        <w:tc>
          <w:p>
            <w:pPr>
              <w:pStyle w:val="Compact"/>
              <w:jc w:val="right"/>
            </w:pPr>
            <w:r>
              <w:t xml:space="preserve">1.5512</w:t>
            </w:r>
          </w:p>
        </w:tc>
        <w:tc>
          <w:p>
            <w:pPr>
              <w:pStyle w:val="Compact"/>
              <w:jc w:val="right"/>
            </w:pPr>
            <w:r>
              <w:t xml:space="preserve">0.1262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11.0586</w:t>
            </w:r>
          </w:p>
        </w:tc>
        <w:tc>
          <w:p>
            <w:pPr>
              <w:pStyle w:val="Compact"/>
              <w:jc w:val="right"/>
            </w:pPr>
            <w:r>
              <w:t xml:space="preserve">113.0202</w:t>
            </w:r>
          </w:p>
        </w:tc>
        <w:tc>
          <w:p>
            <w:pPr>
              <w:pStyle w:val="Compact"/>
              <w:jc w:val="right"/>
            </w:pPr>
            <w:r>
              <w:t xml:space="preserve">0.0978</w:t>
            </w:r>
          </w:p>
        </w:tc>
        <w:tc>
          <w:p>
            <w:pPr>
              <w:pStyle w:val="Compact"/>
              <w:jc w:val="right"/>
            </w:pPr>
            <w:r>
              <w:t xml:space="preserve">0.9224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49.3562</w:t>
            </w:r>
          </w:p>
        </w:tc>
        <w:tc>
          <w:p>
            <w:pPr>
              <w:pStyle w:val="Compact"/>
              <w:jc w:val="right"/>
            </w:pPr>
            <w:r>
              <w:t xml:space="preserve">101.9316</w:t>
            </w:r>
          </w:p>
        </w:tc>
        <w:tc>
          <w:p>
            <w:pPr>
              <w:pStyle w:val="Compact"/>
              <w:jc w:val="right"/>
            </w:pPr>
            <w:r>
              <w:t xml:space="preserve">0.4842</w:t>
            </w:r>
          </w:p>
        </w:tc>
        <w:tc>
          <w:p>
            <w:pPr>
              <w:pStyle w:val="Compact"/>
              <w:jc w:val="right"/>
            </w:pPr>
            <w:r>
              <w:t xml:space="preserve">0.6300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41.0370</w:t>
            </w:r>
          </w:p>
        </w:tc>
        <w:tc>
          <w:p>
            <w:pPr>
              <w:pStyle w:val="Compact"/>
              <w:jc w:val="right"/>
            </w:pPr>
            <w:r>
              <w:t xml:space="preserve">101.3575</w:t>
            </w:r>
          </w:p>
        </w:tc>
        <w:tc>
          <w:p>
            <w:pPr>
              <w:pStyle w:val="Compact"/>
              <w:jc w:val="right"/>
            </w:pPr>
            <w:r>
              <w:t xml:space="preserve">0.4049</w:t>
            </w:r>
          </w:p>
        </w:tc>
        <w:tc>
          <w:p>
            <w:pPr>
              <w:pStyle w:val="Compact"/>
              <w:jc w:val="right"/>
            </w:pPr>
            <w:r>
              <w:t xml:space="preserve">0.6870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0.3694</w:t>
            </w:r>
          </w:p>
        </w:tc>
        <w:tc>
          <w:p>
            <w:pPr>
              <w:pStyle w:val="Compact"/>
              <w:jc w:val="right"/>
            </w:pPr>
            <w:r>
              <w:t xml:space="preserve">0.8962</w:t>
            </w:r>
          </w:p>
        </w:tc>
        <w:tc>
          <w:p>
            <w:pPr>
              <w:pStyle w:val="Compact"/>
              <w:jc w:val="right"/>
            </w:pPr>
            <w:r>
              <w:t xml:space="preserve">0.4122</w:t>
            </w:r>
          </w:p>
        </w:tc>
        <w:tc>
          <w:p>
            <w:pPr>
              <w:pStyle w:val="Compact"/>
              <w:jc w:val="right"/>
            </w:pPr>
            <w:r>
              <w:t xml:space="preserve">0.6817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-0.0409</w:t>
            </w:r>
          </w:p>
        </w:tc>
        <w:tc>
          <w:p>
            <w:pPr>
              <w:pStyle w:val="Compact"/>
              <w:jc w:val="right"/>
            </w:pPr>
            <w:r>
              <w:t xml:space="preserve">0.9675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-0.8991</w:t>
            </w:r>
          </w:p>
        </w:tc>
        <w:tc>
          <w:p>
            <w:pPr>
              <w:pStyle w:val="Compact"/>
              <w:jc w:val="right"/>
            </w:pPr>
            <w:r>
              <w:t xml:space="preserve">0.9993</w:t>
            </w:r>
          </w:p>
        </w:tc>
        <w:tc>
          <w:p>
            <w:pPr>
              <w:pStyle w:val="Compact"/>
              <w:jc w:val="right"/>
            </w:pPr>
            <w:r>
              <w:t xml:space="preserve">-0.8998</w:t>
            </w:r>
          </w:p>
        </w:tc>
        <w:tc>
          <w:p>
            <w:pPr>
              <w:pStyle w:val="Compact"/>
              <w:jc w:val="right"/>
            </w:pPr>
            <w:r>
              <w:t xml:space="preserve">0.3719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-0.3877</w:t>
            </w:r>
          </w:p>
        </w:tc>
        <w:tc>
          <w:p>
            <w:pPr>
              <w:pStyle w:val="Compact"/>
              <w:jc w:val="right"/>
            </w:pPr>
            <w:r>
              <w:t xml:space="preserve">0.9125</w:t>
            </w:r>
          </w:p>
        </w:tc>
        <w:tc>
          <w:p>
            <w:pPr>
              <w:pStyle w:val="Compact"/>
              <w:jc w:val="right"/>
            </w:pPr>
            <w:r>
              <w:t xml:space="preserve">-0.4248</w:t>
            </w:r>
          </w:p>
        </w:tc>
        <w:tc>
          <w:p>
            <w:pPr>
              <w:pStyle w:val="Compact"/>
              <w:jc w:val="right"/>
            </w:pPr>
            <w:r>
              <w:t xml:space="preserve">0.6725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0.9896</w:t>
            </w:r>
          </w:p>
        </w:tc>
        <w:tc>
          <w:p>
            <w:pPr>
              <w:pStyle w:val="Compact"/>
              <w:jc w:val="right"/>
            </w:pPr>
            <w:r>
              <w:t xml:space="preserve">0.9688</w:t>
            </w:r>
          </w:p>
        </w:tc>
        <w:tc>
          <w:p>
            <w:pPr>
              <w:pStyle w:val="Compact"/>
              <w:jc w:val="right"/>
            </w:pPr>
            <w:r>
              <w:t xml:space="preserve">1.0214</w:t>
            </w:r>
          </w:p>
        </w:tc>
        <w:tc>
          <w:p>
            <w:pPr>
              <w:pStyle w:val="Compact"/>
              <w:jc w:val="right"/>
            </w:pPr>
            <w:r>
              <w:t xml:space="preserve">0.3112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-1.6422</w:t>
            </w:r>
          </w:p>
        </w:tc>
        <w:tc>
          <w:p>
            <w:pPr>
              <w:pStyle w:val="Compact"/>
              <w:jc w:val="right"/>
            </w:pPr>
            <w:r>
              <w:t xml:space="preserve">1.0564</w:t>
            </w:r>
          </w:p>
        </w:tc>
        <w:tc>
          <w:p>
            <w:pPr>
              <w:pStyle w:val="Compact"/>
              <w:jc w:val="right"/>
            </w:pPr>
            <w:r>
              <w:t xml:space="preserve">-1.5546</w:t>
            </w:r>
          </w:p>
        </w:tc>
        <w:tc>
          <w:p>
            <w:pPr>
              <w:pStyle w:val="Compact"/>
              <w:jc w:val="right"/>
            </w:pPr>
            <w:r>
              <w:t xml:space="preserve">0.1254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-0.0804</w:t>
            </w:r>
          </w:p>
        </w:tc>
        <w:tc>
          <w:p>
            <w:pPr>
              <w:pStyle w:val="Compact"/>
              <w:jc w:val="right"/>
            </w:pPr>
            <w:r>
              <w:t xml:space="preserve">1.0264</w:t>
            </w:r>
          </w:p>
        </w:tc>
        <w:tc>
          <w:p>
            <w:pPr>
              <w:pStyle w:val="Compact"/>
              <w:jc w:val="right"/>
            </w:pPr>
            <w:r>
              <w:t xml:space="preserve">-0.0783</w:t>
            </w:r>
          </w:p>
        </w:tc>
        <w:tc>
          <w:p>
            <w:pPr>
              <w:pStyle w:val="Compact"/>
              <w:jc w:val="right"/>
            </w:pPr>
            <w:r>
              <w:t xml:space="preserve">0.9379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-0.4224</w:t>
            </w:r>
          </w:p>
        </w:tc>
        <w:tc>
          <w:p>
            <w:pPr>
              <w:pStyle w:val="Compact"/>
              <w:jc w:val="right"/>
            </w:pPr>
            <w:r>
              <w:t xml:space="preserve">0.9341</w:t>
            </w:r>
          </w:p>
        </w:tc>
        <w:tc>
          <w:p>
            <w:pPr>
              <w:pStyle w:val="Compact"/>
              <w:jc w:val="right"/>
            </w:pPr>
            <w:r>
              <w:t xml:space="preserve">-0.4522</w:t>
            </w:r>
          </w:p>
        </w:tc>
        <w:tc>
          <w:p>
            <w:pPr>
              <w:pStyle w:val="Compact"/>
              <w:jc w:val="right"/>
            </w:pPr>
            <w:r>
              <w:t xml:space="preserve">0.6528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-0.3025</w:t>
            </w:r>
          </w:p>
        </w:tc>
        <w:tc>
          <w:p>
            <w:pPr>
              <w:pStyle w:val="Compact"/>
              <w:jc w:val="right"/>
            </w:pPr>
            <w:r>
              <w:t xml:space="preserve">0.9229</w:t>
            </w:r>
          </w:p>
        </w:tc>
        <w:tc>
          <w:p>
            <w:pPr>
              <w:pStyle w:val="Compact"/>
              <w:jc w:val="right"/>
            </w:pPr>
            <w:r>
              <w:t xml:space="preserve">-0.3278</w:t>
            </w:r>
          </w:p>
        </w:tc>
        <w:tc>
          <w:p>
            <w:pPr>
              <w:pStyle w:val="Compact"/>
              <w:jc w:val="right"/>
            </w:pPr>
            <w:r>
              <w:t xml:space="preserve">0.7442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-0.9394</w:t>
            </w:r>
          </w:p>
        </w:tc>
        <w:tc>
          <w:p>
            <w:pPr>
              <w:pStyle w:val="Compact"/>
              <w:jc w:val="right"/>
            </w:pPr>
            <w:r>
              <w:t xml:space="preserve">0.3513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0.3262</w:t>
            </w:r>
          </w:p>
        </w:tc>
        <w:tc>
          <w:p>
            <w:pPr>
              <w:pStyle w:val="Compact"/>
              <w:jc w:val="right"/>
            </w:pPr>
            <w:r>
              <w:t xml:space="preserve">0.7454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1.0867</w:t>
            </w:r>
          </w:p>
        </w:tc>
        <w:tc>
          <w:p>
            <w:pPr>
              <w:pStyle w:val="Compact"/>
              <w:jc w:val="right"/>
            </w:pPr>
            <w:r>
              <w:t xml:space="preserve">0.2816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0.5232</w:t>
            </w:r>
          </w:p>
        </w:tc>
        <w:tc>
          <w:p>
            <w:pPr>
              <w:pStyle w:val="Compact"/>
              <w:jc w:val="right"/>
            </w:pPr>
            <w:r>
              <w:t xml:space="preserve">0.6028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-0.0989</w:t>
            </w:r>
          </w:p>
        </w:tc>
        <w:tc>
          <w:p>
            <w:pPr>
              <w:pStyle w:val="Compact"/>
              <w:jc w:val="right"/>
            </w:pPr>
            <w:r>
              <w:t xml:space="preserve">0.9215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  <w:tc>
          <w:p>
            <w:pPr>
              <w:pStyle w:val="Compact"/>
              <w:jc w:val="right"/>
            </w:pPr>
            <w:r>
              <w:t xml:space="preserve">0.9164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-0.3323</w:t>
            </w:r>
          </w:p>
        </w:tc>
        <w:tc>
          <w:p>
            <w:pPr>
              <w:pStyle w:val="Compact"/>
              <w:jc w:val="right"/>
            </w:pPr>
            <w:r>
              <w:t xml:space="preserve">0.7408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(33.7%).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29" w:name="модель-без-поправки"/>
      <w:r>
        <w:t xml:space="preserve">Модель без поправки:</w:t>
      </w:r>
      <w:bookmarkEnd w:id="29"/>
    </w:p>
    <w:p>
      <w:pPr>
        <w:pStyle w:val="Heading4"/>
      </w:pPr>
      <w:bookmarkStart w:id="30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103.6109</w:t>
            </w:r>
          </w:p>
        </w:tc>
        <w:tc>
          <w:p>
            <w:pPr>
              <w:pStyle w:val="Compact"/>
              <w:jc w:val="right"/>
            </w:pPr>
            <w:r>
              <w:t xml:space="preserve">0.9093</w:t>
            </w:r>
          </w:p>
        </w:tc>
        <w:tc>
          <w:p>
            <w:pPr>
              <w:pStyle w:val="Compact"/>
              <w:jc w:val="right"/>
            </w:pPr>
            <w:r>
              <w:t xml:space="preserve">113.9518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-129.6584</w:t>
            </w:r>
          </w:p>
        </w:tc>
        <w:tc>
          <w:p>
            <w:pPr>
              <w:pStyle w:val="Compact"/>
              <w:jc w:val="right"/>
            </w:pPr>
            <w:r>
              <w:t xml:space="preserve">35.2879</w:t>
            </w:r>
          </w:p>
        </w:tc>
        <w:tc>
          <w:p>
            <w:pPr>
              <w:pStyle w:val="Compact"/>
              <w:jc w:val="right"/>
            </w:pPr>
            <w:r>
              <w:t xml:space="preserve">-3.6743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146.3632</w:t>
            </w:r>
          </w:p>
        </w:tc>
        <w:tc>
          <w:p>
            <w:pPr>
              <w:pStyle w:val="Compact"/>
              <w:jc w:val="right"/>
            </w:pPr>
            <w:r>
              <w:t xml:space="preserve">56.5090</w:t>
            </w:r>
          </w:p>
        </w:tc>
        <w:tc>
          <w:p>
            <w:pPr>
              <w:pStyle w:val="Compact"/>
              <w:jc w:val="right"/>
            </w:pPr>
            <w:r>
              <w:t xml:space="preserve">2.5901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1.2867</w:t>
            </w:r>
          </w:p>
        </w:tc>
        <w:tc>
          <w:p>
            <w:pPr>
              <w:pStyle w:val="Compact"/>
              <w:jc w:val="right"/>
            </w:pPr>
            <w:r>
              <w:t xml:space="preserve">0.3409</w:t>
            </w:r>
          </w:p>
        </w:tc>
        <w:tc>
          <w:p>
            <w:pPr>
              <w:pStyle w:val="Compact"/>
              <w:jc w:val="right"/>
            </w:pPr>
            <w:r>
              <w:t xml:space="preserve">3.7746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-1.3253</w:t>
            </w:r>
          </w:p>
        </w:tc>
        <w:tc>
          <w:p>
            <w:pPr>
              <w:pStyle w:val="Compact"/>
              <w:jc w:val="right"/>
            </w:pPr>
            <w:r>
              <w:t xml:space="preserve">0.5182</w:t>
            </w:r>
          </w:p>
        </w:tc>
        <w:tc>
          <w:p>
            <w:pPr>
              <w:pStyle w:val="Compact"/>
              <w:jc w:val="right"/>
            </w:pPr>
            <w:r>
              <w:t xml:space="preserve">-2.5577</w:t>
            </w:r>
          </w:p>
        </w:tc>
        <w:tc>
          <w:p>
            <w:pPr>
              <w:pStyle w:val="Compact"/>
              <w:jc w:val="right"/>
            </w:pPr>
            <w:r>
              <w:t xml:space="preserve">0.0125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0.224)</w:t>
      </w:r>
    </w:p>
    <w:p>
      <w:pPr>
        <w:pStyle w:val="BodyText"/>
      </w:pPr>
      <w:r>
        <w:t xml:space="preserve">Значимы константы для Северо-Западного, Северо-Кавказского и Центрального федеральных</w:t>
      </w:r>
      <w:r>
        <w:t xml:space="preserve"> </w:t>
      </w:r>
      <w:r>
        <w:t xml:space="preserve">округов, а также коэффициенты при независимых переменных для некоторых округов.</w:t>
      </w:r>
    </w:p>
    <w:p>
      <w:pPr>
        <w:pStyle w:val="Heading3"/>
      </w:pPr>
      <w:bookmarkStart w:id="31" w:name="модель-с-поправкой-бонферрони"/>
      <w:r>
        <w:t xml:space="preserve">Модель с поправкой Бонферрони:</w:t>
      </w:r>
      <w:bookmarkEnd w:id="31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94720</m:t>
        </m:r>
        <m:r>
          <m:t>,</m:t>
        </m:r>
        <m:r>
          <m:t>74</m:t>
        </m:r>
        <m:r>
          <m:t>+</m:t>
        </m:r>
        <m:r>
          <m:t>338</m:t>
        </m:r>
        <m:r>
          <m:t>,</m:t>
        </m:r>
        <m:r>
          <m:t>5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</m:oMath>
      <w:r>
        <w:t xml:space="preserve">.</w:t>
      </w:r>
    </w:p>
    <w:p>
      <w:pPr>
        <w:pStyle w:val="Heading4"/>
      </w:pPr>
      <w:bookmarkStart w:id="32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103.6109</w:t>
            </w:r>
          </w:p>
        </w:tc>
        <w:tc>
          <w:p>
            <w:pPr>
              <w:pStyle w:val="Compact"/>
              <w:jc w:val="right"/>
            </w:pPr>
            <w:r>
              <w:t xml:space="preserve">0.9093</w:t>
            </w:r>
          </w:p>
        </w:tc>
        <w:tc>
          <w:p>
            <w:pPr>
              <w:pStyle w:val="Compact"/>
              <w:jc w:val="right"/>
            </w:pPr>
            <w:r>
              <w:t xml:space="preserve">113.9518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-129.6584</w:t>
            </w:r>
          </w:p>
        </w:tc>
        <w:tc>
          <w:p>
            <w:pPr>
              <w:pStyle w:val="Compact"/>
              <w:jc w:val="right"/>
            </w:pPr>
            <w:r>
              <w:t xml:space="preserve">35.2879</w:t>
            </w:r>
          </w:p>
        </w:tc>
        <w:tc>
          <w:p>
            <w:pPr>
              <w:pStyle w:val="Compact"/>
              <w:jc w:val="right"/>
            </w:pPr>
            <w:r>
              <w:t xml:space="preserve">-3.6743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146.3632</w:t>
            </w:r>
          </w:p>
        </w:tc>
        <w:tc>
          <w:p>
            <w:pPr>
              <w:pStyle w:val="Compact"/>
              <w:jc w:val="right"/>
            </w:pPr>
            <w:r>
              <w:t xml:space="preserve">56.5090</w:t>
            </w:r>
          </w:p>
        </w:tc>
        <w:tc>
          <w:p>
            <w:pPr>
              <w:pStyle w:val="Compact"/>
              <w:jc w:val="right"/>
            </w:pPr>
            <w:r>
              <w:t xml:space="preserve">2.5901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1.2867</w:t>
            </w:r>
          </w:p>
        </w:tc>
        <w:tc>
          <w:p>
            <w:pPr>
              <w:pStyle w:val="Compact"/>
              <w:jc w:val="right"/>
            </w:pPr>
            <w:r>
              <w:t xml:space="preserve">0.3409</w:t>
            </w:r>
          </w:p>
        </w:tc>
        <w:tc>
          <w:p>
            <w:pPr>
              <w:pStyle w:val="Compact"/>
              <w:jc w:val="right"/>
            </w:pPr>
            <w:r>
              <w:t xml:space="preserve">3.7746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-1.3253</w:t>
            </w:r>
          </w:p>
        </w:tc>
        <w:tc>
          <w:p>
            <w:pPr>
              <w:pStyle w:val="Compact"/>
              <w:jc w:val="right"/>
            </w:pPr>
            <w:r>
              <w:t xml:space="preserve">0.5182</w:t>
            </w:r>
          </w:p>
        </w:tc>
        <w:tc>
          <w:p>
            <w:pPr>
              <w:pStyle w:val="Compact"/>
              <w:jc w:val="right"/>
            </w:pPr>
            <w:r>
              <w:t xml:space="preserve">-2.5577</w:t>
            </w:r>
          </w:p>
        </w:tc>
        <w:tc>
          <w:p>
            <w:pPr>
              <w:pStyle w:val="Compact"/>
              <w:jc w:val="right"/>
            </w:pPr>
            <w:r>
              <w:t xml:space="preserve">0.0125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PromPrices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0.224).</w:t>
      </w:r>
    </w:p>
    <w:p>
      <w:pPr>
        <w:pStyle w:val="Heading2"/>
      </w:pPr>
      <w:bookmarkStart w:id="33" w:name="сравнение-моделей-по-качеству."/>
      <w:r>
        <w:t xml:space="preserve">Сравнение моделей по качеству.</w:t>
      </w:r>
      <w:bookmarkEnd w:id="33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34" w:name="таблица-5---сравнение-трёх-моделей"/>
      <w:r>
        <w:t xml:space="preserve">Таблица 5 - сравнение трёх моделей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138420.6 (~ 16% стандартной ошибки);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rPr>
          <w:b/>
        </w:rPr>
        <w:t xml:space="preserve">Явный вид модели 3:</w:t>
      </w:r>
      <w:r>
        <w:rPr>
          <w:b/>
        </w:rP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67679</m:t>
        </m:r>
        <m:r>
          <m:t>,</m:t>
        </m:r>
        <m:r>
          <m:t>22</m:t>
        </m:r>
        <m:r>
          <m:t>+</m:t>
        </m:r>
        <m:r>
          <m:t>534</m:t>
        </m:r>
        <m:r>
          <m:t>,</m:t>
        </m:r>
        <m:r>
          <m:t>57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1485</m:t>
        </m:r>
        <m:r>
          <m:t>⋅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  <m:r>
          <m:t>+</m:t>
        </m:r>
        <m:r>
          <m:t>73515</m:t>
        </m:r>
        <m:r>
          <m:t>,</m:t>
        </m:r>
        <m:r>
          <m:t>34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44010</m:t>
        </m:r>
        <m:r>
          <m:t>,</m:t>
        </m:r>
        <m:r>
          <m:t>31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76386</m:t>
        </m:r>
        <m:r>
          <m:t>,</m:t>
        </m:r>
        <m:r>
          <m:t>54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436</m:t>
        </m:r>
        <m:r>
          <m:t>,</m:t>
        </m:r>
        <m:r>
          <m:t>07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466</m:t>
        </m:r>
        <m:r>
          <m:t>,</m:t>
        </m:r>
        <m:r>
          <m:t>93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230</m:t>
        </m:r>
        <m:r>
          <m:t>,</m:t>
        </m:r>
        <m:r>
          <m:t>93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681</m:t>
        </m:r>
        <m:r>
          <m:t>,</m:t>
        </m:r>
        <m:r>
          <m:t>37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4182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  <m:r>
          <m:t>−</m:t>
        </m:r>
        <m:r>
          <m:t>0</m:t>
        </m:r>
        <m:r>
          <m:t>,</m:t>
        </m:r>
        <m:r>
          <m:t>2125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  <m:r>
          <m:t>+</m:t>
        </m:r>
        <m:r>
          <m:t>0</m:t>
        </m:r>
        <m:r>
          <m:t>,</m:t>
        </m:r>
        <m:r>
          <m:t>8091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rPr>
          <w:b/>
        </w:rP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раздел-ii."/>
      <w:r>
        <w:t xml:space="preserve">Раздел II.</w:t>
      </w:r>
      <w:bookmarkEnd w:id="35"/>
    </w:p>
    <w:p>
      <w:pPr>
        <w:pStyle w:val="Heading2"/>
      </w:pPr>
      <w:bookmarkStart w:id="36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36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IndProd</w:t>
      </w:r>
      <w:r>
        <w:t xml:space="preserve">) – Среднедушевые денежные доходы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PromPrices</w:t>
      </w:r>
      <w:r>
        <w:t xml:space="preserve">) – ВРП на душу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CapInvests</w:t>
      </w:r>
      <w:r>
        <w:t xml:space="preserve">) – Расходы консолидированных бюджетов субъектов Российской Федерации: на социальную политику;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Heading2"/>
      </w:pPr>
      <w:bookmarkStart w:id="37" w:name="оценка-параметров-этой-модели-1"/>
      <w:r>
        <w:t xml:space="preserve">Оценка параметров этой модели</w:t>
      </w:r>
      <w:bookmarkEnd w:id="37"/>
    </w:p>
    <w:p>
      <w:pPr>
        <w:pStyle w:val="Heading4"/>
      </w:pPr>
      <w:bookmarkStart w:id="38" w:name="Xff31dc8a22170c0e164fe47359284a8350afce2"/>
      <w:r>
        <w:t xml:space="preserve">Таблица 6 - описательные статистики логарифмированной модели 1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4.7276</w:t>
            </w:r>
          </w:p>
        </w:tc>
        <w:tc>
          <w:p>
            <w:pPr>
              <w:pStyle w:val="Compact"/>
              <w:jc w:val="right"/>
            </w:pPr>
            <w:r>
              <w:t xml:space="preserve">0.4498</w:t>
            </w:r>
          </w:p>
        </w:tc>
        <w:tc>
          <w:p>
            <w:pPr>
              <w:pStyle w:val="Compact"/>
              <w:jc w:val="right"/>
            </w:pPr>
            <w:r>
              <w:t xml:space="preserve">10.5111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-0.0160</w:t>
            </w:r>
          </w:p>
        </w:tc>
        <w:tc>
          <w:p>
            <w:pPr>
              <w:pStyle w:val="Compact"/>
              <w:jc w:val="right"/>
            </w:pPr>
            <w:r>
              <w:t xml:space="preserve">0.0960</w:t>
            </w:r>
          </w:p>
        </w:tc>
        <w:tc>
          <w:p>
            <w:pPr>
              <w:pStyle w:val="Compact"/>
              <w:jc w:val="right"/>
            </w:pPr>
            <w:r>
              <w:t xml:space="preserve">-0.1663</w:t>
            </w:r>
          </w:p>
        </w:tc>
        <w:tc>
          <w:p>
            <w:pPr>
              <w:pStyle w:val="Compact"/>
              <w:jc w:val="right"/>
            </w:pPr>
            <w:r>
              <w:t xml:space="preserve">0.8684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-0.0880</w:t>
            </w:r>
          </w:p>
        </w:tc>
        <w:tc>
          <w:p>
            <w:pPr>
              <w:pStyle w:val="Compact"/>
              <w:jc w:val="right"/>
            </w:pPr>
            <w:r>
              <w:t xml:space="preserve">0.9301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26d7c428bda64dde7d40d8d57be7990b04ef88a"/>
      <w:r>
        <w:t xml:space="preserve">Рис. 3. график разброса начальной логарифмированной модели</w:t>
      </w:r>
      <w:bookmarkEnd w:id="40"/>
    </w:p>
    <w:p>
      <w:pPr>
        <w:pStyle w:val="Heading2"/>
      </w:pPr>
      <w:bookmarkStart w:id="41" w:name="X77a036a1eeb372881b5516b5c6a5b5447b7fc37"/>
      <w:r>
        <w:t xml:space="preserve">Проверка значимости для логарифмированных значений:</w:t>
      </w:r>
      <w:bookmarkEnd w:id="41"/>
    </w:p>
    <w:p>
      <w:pPr>
        <w:pStyle w:val="FirstParagraph"/>
      </w:pPr>
      <w:r>
        <w:rPr>
          <w:b/>
        </w:rPr>
        <w:t xml:space="preserve">Проверка значимости для коэффициента при PromPrices.</w:t>
      </w:r>
    </w:p>
    <w:p>
      <w:pPr>
        <w:pStyle w:val="BodyText"/>
      </w:pPr>
      <w:r>
        <w:t xml:space="preserve">H0: (параметр) коэфф. при PromPrices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PromPrices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PromPrices =</w:t>
      </w:r>
      <w:r>
        <w:t xml:space="preserve"> </w:t>
      </w:r>
      <m:oMath>
        <m:r>
          <m:t>5</m:t>
        </m:r>
        <m:r>
          <m:t>,</m:t>
        </m:r>
        <m:r>
          <m:t>9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CapInvests.</w:t>
      </w:r>
    </w:p>
    <w:p>
      <w:pPr>
        <w:pStyle w:val="BodyText"/>
      </w:pPr>
      <w:r>
        <w:t xml:space="preserve">P-значение при CapInvests =</w:t>
      </w:r>
      <w:r>
        <w:t xml:space="preserve"> </w:t>
      </w:r>
      <m:oMath>
        <m:r>
          <m:t>7</m:t>
        </m:r>
        <m:r>
          <m:t>,</m:t>
        </m:r>
        <m:r>
          <m:t>7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9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 51% исходного разброса зависимой переменной Y (оборота розничной торговли на душу населения) объясняет разброс объясняющих переменных X1 (число малых предприятий на 10000 человек населения), X3 (расходы консолидированных бюджетов субъектов Российской Федерации: всего).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t xml:space="preserve">.</w:t>
      </w:r>
    </w:p>
    <w:p>
      <w:pPr>
        <w:pStyle w:val="Heading2"/>
      </w:pPr>
      <w:bookmarkStart w:id="42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2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43" w:name="X95e71226535f453d430aecd780e73b9e517ec54"/>
      <w:r>
        <w:t xml:space="preserve">Таблица 7 - описательные статистики логарифмированной модели по федеральным округам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2.3665</w:t>
            </w:r>
          </w:p>
        </w:tc>
        <w:tc>
          <w:p>
            <w:pPr>
              <w:pStyle w:val="Compact"/>
              <w:jc w:val="right"/>
            </w:pPr>
            <w:r>
              <w:t xml:space="preserve">4.2072</w:t>
            </w:r>
          </w:p>
        </w:tc>
        <w:tc>
          <w:p>
            <w:pPr>
              <w:pStyle w:val="Compact"/>
              <w:jc w:val="right"/>
            </w:pPr>
            <w:r>
              <w:t xml:space="preserve">0.5625</w:t>
            </w:r>
          </w:p>
        </w:tc>
        <w:tc>
          <w:p>
            <w:pPr>
              <w:pStyle w:val="Compact"/>
              <w:jc w:val="right"/>
            </w:pPr>
            <w:r>
              <w:t xml:space="preserve">0.5759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5.4842</w:t>
            </w:r>
          </w:p>
        </w:tc>
        <w:tc>
          <w:p>
            <w:pPr>
              <w:pStyle w:val="Compact"/>
              <w:jc w:val="right"/>
            </w:pPr>
            <w:r>
              <w:t xml:space="preserve">4.7098</w:t>
            </w:r>
          </w:p>
        </w:tc>
        <w:tc>
          <w:p>
            <w:pPr>
              <w:pStyle w:val="Compact"/>
              <w:jc w:val="right"/>
            </w:pPr>
            <w:r>
              <w:t xml:space="preserve">1.1644</w:t>
            </w:r>
          </w:p>
        </w:tc>
        <w:tc>
          <w:p>
            <w:pPr>
              <w:pStyle w:val="Compact"/>
              <w:jc w:val="right"/>
            </w:pPr>
            <w:r>
              <w:t xml:space="preserve">0.2489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1.8531</w:t>
            </w:r>
          </w:p>
        </w:tc>
        <w:tc>
          <w:p>
            <w:pPr>
              <w:pStyle w:val="Compact"/>
              <w:jc w:val="right"/>
            </w:pPr>
            <w:r>
              <w:t xml:space="preserve">4.3000</w:t>
            </w:r>
          </w:p>
        </w:tc>
        <w:tc>
          <w:p>
            <w:pPr>
              <w:pStyle w:val="Compact"/>
              <w:jc w:val="right"/>
            </w:pPr>
            <w:r>
              <w:t xml:space="preserve">0.4310</w:t>
            </w:r>
          </w:p>
        </w:tc>
        <w:tc>
          <w:p>
            <w:pPr>
              <w:pStyle w:val="Compact"/>
              <w:jc w:val="right"/>
            </w:pPr>
            <w:r>
              <w:t xml:space="preserve">0.6681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-4.7305</w:t>
            </w:r>
          </w:p>
        </w:tc>
        <w:tc>
          <w:p>
            <w:pPr>
              <w:pStyle w:val="Compact"/>
              <w:jc w:val="right"/>
            </w:pPr>
            <w:r>
              <w:t xml:space="preserve">4.8472</w:t>
            </w:r>
          </w:p>
        </w:tc>
        <w:tc>
          <w:p>
            <w:pPr>
              <w:pStyle w:val="Compact"/>
              <w:jc w:val="right"/>
            </w:pPr>
            <w:r>
              <w:t xml:space="preserve">-0.9759</w:t>
            </w:r>
          </w:p>
        </w:tc>
        <w:tc>
          <w:p>
            <w:pPr>
              <w:pStyle w:val="Compact"/>
              <w:jc w:val="right"/>
            </w:pPr>
            <w:r>
              <w:t xml:space="preserve">0.3331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6.9197</w:t>
            </w:r>
          </w:p>
        </w:tc>
        <w:tc>
          <w:p>
            <w:pPr>
              <w:pStyle w:val="Compact"/>
              <w:jc w:val="right"/>
            </w:pPr>
            <w:r>
              <w:t xml:space="preserve">4.9861</w:t>
            </w:r>
          </w:p>
        </w:tc>
        <w:tc>
          <w:p>
            <w:pPr>
              <w:pStyle w:val="Compact"/>
              <w:jc w:val="right"/>
            </w:pPr>
            <w:r>
              <w:t xml:space="preserve">1.3878</w:t>
            </w:r>
          </w:p>
        </w:tc>
        <w:tc>
          <w:p>
            <w:pPr>
              <w:pStyle w:val="Compact"/>
              <w:jc w:val="right"/>
            </w:pPr>
            <w:r>
              <w:t xml:space="preserve">0.1704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0.9662</w:t>
            </w:r>
          </w:p>
        </w:tc>
        <w:tc>
          <w:p>
            <w:pPr>
              <w:pStyle w:val="Compact"/>
              <w:jc w:val="right"/>
            </w:pPr>
            <w:r>
              <w:t xml:space="preserve">4.8202</w:t>
            </w:r>
          </w:p>
        </w:tc>
        <w:tc>
          <w:p>
            <w:pPr>
              <w:pStyle w:val="Compact"/>
              <w:jc w:val="right"/>
            </w:pPr>
            <w:r>
              <w:t xml:space="preserve">0.2005</w:t>
            </w:r>
          </w:p>
        </w:tc>
        <w:tc>
          <w:p>
            <w:pPr>
              <w:pStyle w:val="Compact"/>
              <w:jc w:val="right"/>
            </w:pPr>
            <w:r>
              <w:t xml:space="preserve">0.8418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2.4532</w:t>
            </w:r>
          </w:p>
        </w:tc>
        <w:tc>
          <w:p>
            <w:pPr>
              <w:pStyle w:val="Compact"/>
              <w:jc w:val="right"/>
            </w:pPr>
            <w:r>
              <w:t xml:space="preserve">4.3514</w:t>
            </w:r>
          </w:p>
        </w:tc>
        <w:tc>
          <w:p>
            <w:pPr>
              <w:pStyle w:val="Compact"/>
              <w:jc w:val="right"/>
            </w:pPr>
            <w:r>
              <w:t xml:space="preserve">0.5638</w:t>
            </w:r>
          </w:p>
        </w:tc>
        <w:tc>
          <w:p>
            <w:pPr>
              <w:pStyle w:val="Compact"/>
              <w:jc w:val="right"/>
            </w:pPr>
            <w:r>
              <w:t xml:space="preserve">0.5750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2.2265</w:t>
            </w:r>
          </w:p>
        </w:tc>
        <w:tc>
          <w:p>
            <w:pPr>
              <w:pStyle w:val="Compact"/>
              <w:jc w:val="right"/>
            </w:pPr>
            <w:r>
              <w:t xml:space="preserve">4.3457</w:t>
            </w:r>
          </w:p>
        </w:tc>
        <w:tc>
          <w:p>
            <w:pPr>
              <w:pStyle w:val="Compact"/>
              <w:jc w:val="right"/>
            </w:pPr>
            <w:r>
              <w:t xml:space="preserve">0.5124</w:t>
            </w:r>
          </w:p>
        </w:tc>
        <w:tc>
          <w:p>
            <w:pPr>
              <w:pStyle w:val="Compact"/>
              <w:jc w:val="right"/>
            </w:pPr>
            <w:r>
              <w:t xml:space="preserve">0.6103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0.4704</w:t>
            </w:r>
          </w:p>
        </w:tc>
        <w:tc>
          <w:p>
            <w:pPr>
              <w:pStyle w:val="Compact"/>
              <w:jc w:val="right"/>
            </w:pPr>
            <w:r>
              <w:t xml:space="preserve">0.8777</w:t>
            </w:r>
          </w:p>
        </w:tc>
        <w:tc>
          <w:p>
            <w:pPr>
              <w:pStyle w:val="Compact"/>
              <w:jc w:val="right"/>
            </w:pPr>
            <w:r>
              <w:t xml:space="preserve">0.5359</w:t>
            </w:r>
          </w:p>
        </w:tc>
        <w:tc>
          <w:p>
            <w:pPr>
              <w:pStyle w:val="Compact"/>
              <w:jc w:val="right"/>
            </w:pPr>
            <w:r>
              <w:t xml:space="preserve">0.5940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0.0317</w:t>
            </w:r>
          </w:p>
        </w:tc>
        <w:tc>
          <w:p>
            <w:pPr>
              <w:pStyle w:val="Compact"/>
              <w:jc w:val="right"/>
            </w:pPr>
            <w:r>
              <w:t xml:space="preserve">0.1025</w:t>
            </w:r>
          </w:p>
        </w:tc>
        <w:tc>
          <w:p>
            <w:pPr>
              <w:pStyle w:val="Compact"/>
              <w:jc w:val="right"/>
            </w:pPr>
            <w:r>
              <w:t xml:space="preserve">0.9187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-1.0083</w:t>
            </w:r>
          </w:p>
        </w:tc>
        <w:tc>
          <w:p>
            <w:pPr>
              <w:pStyle w:val="Compact"/>
              <w:jc w:val="right"/>
            </w:pPr>
            <w:r>
              <w:t xml:space="preserve">0.9672</w:t>
            </w:r>
          </w:p>
        </w:tc>
        <w:tc>
          <w:p>
            <w:pPr>
              <w:pStyle w:val="Compact"/>
              <w:jc w:val="right"/>
            </w:pPr>
            <w:r>
              <w:t xml:space="preserve">-1.0425</w:t>
            </w:r>
          </w:p>
        </w:tc>
        <w:tc>
          <w:p>
            <w:pPr>
              <w:pStyle w:val="Compact"/>
              <w:jc w:val="right"/>
            </w:pPr>
            <w:r>
              <w:t xml:space="preserve">0.3014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-0.4475</w:t>
            </w:r>
          </w:p>
        </w:tc>
        <w:tc>
          <w:p>
            <w:pPr>
              <w:pStyle w:val="Compact"/>
              <w:jc w:val="right"/>
            </w:pPr>
            <w:r>
              <w:t xml:space="preserve">0.8955</w:t>
            </w:r>
          </w:p>
        </w:tc>
        <w:tc>
          <w:p>
            <w:pPr>
              <w:pStyle w:val="Compact"/>
              <w:jc w:val="right"/>
            </w:pPr>
            <w:r>
              <w:t xml:space="preserve">-0.4997</w:t>
            </w:r>
          </w:p>
        </w:tc>
        <w:tc>
          <w:p>
            <w:pPr>
              <w:pStyle w:val="Compact"/>
              <w:jc w:val="right"/>
            </w:pPr>
            <w:r>
              <w:t xml:space="preserve">0.6192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0.7448</w:t>
            </w:r>
          </w:p>
        </w:tc>
        <w:tc>
          <w:p>
            <w:pPr>
              <w:pStyle w:val="Compact"/>
              <w:jc w:val="right"/>
            </w:pPr>
            <w:r>
              <w:t xml:space="preserve">0.9462</w:t>
            </w:r>
          </w:p>
        </w:tc>
        <w:tc>
          <w:p>
            <w:pPr>
              <w:pStyle w:val="Compact"/>
              <w:jc w:val="right"/>
            </w:pPr>
            <w:r>
              <w:t xml:space="preserve">0.7872</w:t>
            </w:r>
          </w:p>
        </w:tc>
        <w:tc>
          <w:p>
            <w:pPr>
              <w:pStyle w:val="Compact"/>
              <w:jc w:val="right"/>
            </w:pPr>
            <w:r>
              <w:t xml:space="preserve">0.4343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-1.6200</w:t>
            </w:r>
          </w:p>
        </w:tc>
        <w:tc>
          <w:p>
            <w:pPr>
              <w:pStyle w:val="Compact"/>
              <w:jc w:val="right"/>
            </w:pPr>
            <w:r>
              <w:t xml:space="preserve">1.0323</w:t>
            </w:r>
          </w:p>
        </w:tc>
        <w:tc>
          <w:p>
            <w:pPr>
              <w:pStyle w:val="Compact"/>
              <w:jc w:val="right"/>
            </w:pPr>
            <w:r>
              <w:t xml:space="preserve">-1.5693</w:t>
            </w:r>
          </w:p>
        </w:tc>
        <w:tc>
          <w:p>
            <w:pPr>
              <w:pStyle w:val="Compact"/>
              <w:jc w:val="right"/>
            </w:pPr>
            <w:r>
              <w:t xml:space="preserve">0.1219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-0.1817</w:t>
            </w:r>
          </w:p>
        </w:tc>
        <w:tc>
          <w:p>
            <w:pPr>
              <w:pStyle w:val="Compact"/>
              <w:jc w:val="right"/>
            </w:pPr>
            <w:r>
              <w:t xml:space="preserve">1.0123</w:t>
            </w:r>
          </w:p>
        </w:tc>
        <w:tc>
          <w:p>
            <w:pPr>
              <w:pStyle w:val="Compact"/>
              <w:jc w:val="right"/>
            </w:pPr>
            <w:r>
              <w:t xml:space="preserve">-0.1794</w:t>
            </w:r>
          </w:p>
        </w:tc>
        <w:tc>
          <w:p>
            <w:pPr>
              <w:pStyle w:val="Compact"/>
              <w:jc w:val="right"/>
            </w:pPr>
            <w:r>
              <w:t xml:space="preserve">0.8582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-0.5184</w:t>
            </w:r>
          </w:p>
        </w:tc>
        <w:tc>
          <w:p>
            <w:pPr>
              <w:pStyle w:val="Compact"/>
              <w:jc w:val="right"/>
            </w:pPr>
            <w:r>
              <w:t xml:space="preserve">0.9099</w:t>
            </w:r>
          </w:p>
        </w:tc>
        <w:tc>
          <w:p>
            <w:pPr>
              <w:pStyle w:val="Compact"/>
              <w:jc w:val="right"/>
            </w:pPr>
            <w:r>
              <w:t xml:space="preserve">-0.5698</w:t>
            </w:r>
          </w:p>
        </w:tc>
        <w:tc>
          <w:p>
            <w:pPr>
              <w:pStyle w:val="Compact"/>
              <w:jc w:val="right"/>
            </w:pPr>
            <w:r>
              <w:t xml:space="preserve">0.5710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-0.4060</w:t>
            </w:r>
          </w:p>
        </w:tc>
        <w:tc>
          <w:p>
            <w:pPr>
              <w:pStyle w:val="Compact"/>
              <w:jc w:val="right"/>
            </w:pPr>
            <w:r>
              <w:t xml:space="preserve">0.9046</w:t>
            </w:r>
          </w:p>
        </w:tc>
        <w:tc>
          <w:p>
            <w:pPr>
              <w:pStyle w:val="Compact"/>
              <w:jc w:val="right"/>
            </w:pPr>
            <w:r>
              <w:t xml:space="preserve">-0.4488</w:t>
            </w:r>
          </w:p>
        </w:tc>
        <w:tc>
          <w:p>
            <w:pPr>
              <w:pStyle w:val="Compact"/>
              <w:jc w:val="right"/>
            </w:pPr>
            <w:r>
              <w:t xml:space="preserve">0.6552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-0.0665</w:t>
            </w:r>
          </w:p>
        </w:tc>
        <w:tc>
          <w:p>
            <w:pPr>
              <w:pStyle w:val="Compact"/>
              <w:jc w:val="right"/>
            </w:pPr>
            <w:r>
              <w:t xml:space="preserve">0.0663</w:t>
            </w:r>
          </w:p>
        </w:tc>
        <w:tc>
          <w:p>
            <w:pPr>
              <w:pStyle w:val="Compact"/>
              <w:jc w:val="right"/>
            </w:pPr>
            <w:r>
              <w:t xml:space="preserve">-1.0040</w:t>
            </w:r>
          </w:p>
        </w:tc>
        <w:tc>
          <w:p>
            <w:pPr>
              <w:pStyle w:val="Compact"/>
              <w:jc w:val="right"/>
            </w:pPr>
            <w:r>
              <w:t xml:space="preserve">0.3195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p>
            <w:pPr>
              <w:pStyle w:val="Compact"/>
              <w:jc w:val="right"/>
            </w:pPr>
            <w:r>
              <w:t xml:space="preserve">0.0372</w:t>
            </w:r>
          </w:p>
        </w:tc>
        <w:tc>
          <w:p>
            <w:pPr>
              <w:pStyle w:val="Compact"/>
              <w:jc w:val="right"/>
            </w:pPr>
            <w:r>
              <w:t xml:space="preserve">0.6329</w:t>
            </w:r>
          </w:p>
        </w:tc>
        <w:tc>
          <w:p>
            <w:pPr>
              <w:pStyle w:val="Compact"/>
              <w:jc w:val="right"/>
            </w:pPr>
            <w:r>
              <w:t xml:space="preserve">0.5293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0.1274</w:t>
            </w:r>
          </w:p>
        </w:tc>
        <w:tc>
          <w:p>
            <w:pPr>
              <w:pStyle w:val="Compact"/>
              <w:jc w:val="right"/>
            </w:pPr>
            <w:r>
              <w:t xml:space="preserve">0.1367</w:t>
            </w:r>
          </w:p>
        </w:tc>
        <w:tc>
          <w:p>
            <w:pPr>
              <w:pStyle w:val="Compact"/>
              <w:jc w:val="right"/>
            </w:pPr>
            <w:r>
              <w:t xml:space="preserve">0.9321</w:t>
            </w:r>
          </w:p>
        </w:tc>
        <w:tc>
          <w:p>
            <w:pPr>
              <w:pStyle w:val="Compact"/>
              <w:jc w:val="right"/>
            </w:pPr>
            <w:r>
              <w:t xml:space="preserve">0.3551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0.0656</w:t>
            </w:r>
          </w:p>
        </w:tc>
        <w:tc>
          <w:p>
            <w:pPr>
              <w:pStyle w:val="Compact"/>
              <w:jc w:val="right"/>
            </w:pPr>
            <w:r>
              <w:t xml:space="preserve">0.0598</w:t>
            </w:r>
          </w:p>
        </w:tc>
        <w:tc>
          <w:p>
            <w:pPr>
              <w:pStyle w:val="Compact"/>
              <w:jc w:val="right"/>
            </w:pPr>
            <w:r>
              <w:t xml:space="preserve">1.0962</w:t>
            </w:r>
          </w:p>
        </w:tc>
        <w:tc>
          <w:p>
            <w:pPr>
              <w:pStyle w:val="Compact"/>
              <w:jc w:val="right"/>
            </w:pPr>
            <w:r>
              <w:t xml:space="preserve">0.2775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-0.0082</w:t>
            </w:r>
          </w:p>
        </w:tc>
        <w:tc>
          <w:p>
            <w:pPr>
              <w:pStyle w:val="Compact"/>
              <w:jc w:val="right"/>
            </w:pPr>
            <w:r>
              <w:t xml:space="preserve">0.0389</w:t>
            </w:r>
          </w:p>
        </w:tc>
        <w:tc>
          <w:p>
            <w:pPr>
              <w:pStyle w:val="Compact"/>
              <w:jc w:val="right"/>
            </w:pPr>
            <w:r>
              <w:t xml:space="preserve">-0.2099</w:t>
            </w:r>
          </w:p>
        </w:tc>
        <w:tc>
          <w:p>
            <w:pPr>
              <w:pStyle w:val="Compact"/>
              <w:jc w:val="right"/>
            </w:pPr>
            <w:r>
              <w:t xml:space="preserve">0.8345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0.0520</w:t>
            </w:r>
          </w:p>
        </w:tc>
        <w:tc>
          <w:p>
            <w:pPr>
              <w:pStyle w:val="Compact"/>
              <w:jc w:val="right"/>
            </w:pPr>
            <w:r>
              <w:t xml:space="preserve">0.0361</w:t>
            </w:r>
          </w:p>
        </w:tc>
        <w:tc>
          <w:p>
            <w:pPr>
              <w:pStyle w:val="Compact"/>
              <w:jc w:val="right"/>
            </w:pPr>
            <w:r>
              <w:t xml:space="preserve">0.9713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-0.0237</w:t>
            </w:r>
          </w:p>
        </w:tc>
        <w:tc>
          <w:p>
            <w:pPr>
              <w:pStyle w:val="Compact"/>
              <w:jc w:val="right"/>
            </w:pPr>
            <w:r>
              <w:t xml:space="preserve">0.0606</w:t>
            </w:r>
          </w:p>
        </w:tc>
        <w:tc>
          <w:p>
            <w:pPr>
              <w:pStyle w:val="Compact"/>
              <w:jc w:val="right"/>
            </w:pPr>
            <w:r>
              <w:t xml:space="preserve">-0.3913</w:t>
            </w:r>
          </w:p>
        </w:tc>
        <w:tc>
          <w:p>
            <w:pPr>
              <w:pStyle w:val="Compact"/>
              <w:jc w:val="right"/>
            </w:pPr>
            <w:r>
              <w:t xml:space="preserve">0.6970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(32.9%).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4" w:name="модель-без-поправки-1"/>
      <w:r>
        <w:t xml:space="preserve">Модель без поправки:</w:t>
      </w:r>
      <w:bookmarkEnd w:id="44"/>
    </w:p>
    <w:p>
      <w:pPr>
        <w:pStyle w:val="Heading4"/>
      </w:pPr>
      <w:bookmarkStart w:id="45" w:name="Xff7901ad5c1941ed8793829822315597490d6de"/>
      <w:r>
        <w:t xml:space="preserve">Таблица 8 - описательные статистики логарифмированной модели по федеральным округам без поправки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4.6398</w:t>
            </w:r>
          </w:p>
        </w:tc>
        <w:tc>
          <w:p>
            <w:pPr>
              <w:pStyle w:val="Compact"/>
              <w:jc w:val="right"/>
            </w:pPr>
            <w:r>
              <w:t xml:space="preserve">0.0082</w:t>
            </w:r>
          </w:p>
        </w:tc>
        <w:tc>
          <w:p>
            <w:pPr>
              <w:pStyle w:val="Compact"/>
              <w:jc w:val="right"/>
            </w:pPr>
            <w:r>
              <w:t xml:space="preserve">562.5148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-5.2294</w:t>
            </w:r>
          </w:p>
        </w:tc>
        <w:tc>
          <w:p>
            <w:pPr>
              <w:pStyle w:val="Compact"/>
              <w:jc w:val="right"/>
            </w:pPr>
            <w:r>
              <w:t xml:space="preserve">1.5190</w:t>
            </w:r>
          </w:p>
        </w:tc>
        <w:tc>
          <w:p>
            <w:pPr>
              <w:pStyle w:val="Compact"/>
              <w:jc w:val="right"/>
            </w:pPr>
            <w:r>
              <w:t xml:space="preserve">-3.4427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5.8303</w:t>
            </w:r>
          </w:p>
        </w:tc>
        <w:tc>
          <w:p>
            <w:pPr>
              <w:pStyle w:val="Compact"/>
              <w:jc w:val="right"/>
            </w:pPr>
            <w:r>
              <w:t xml:space="preserve">2.4136</w:t>
            </w:r>
          </w:p>
        </w:tc>
        <w:tc>
          <w:p>
            <w:pPr>
              <w:pStyle w:val="Compact"/>
              <w:jc w:val="right"/>
            </w:pPr>
            <w:r>
              <w:t xml:space="preserve">2.4156</w:t>
            </w:r>
          </w:p>
        </w:tc>
        <w:tc>
          <w:p>
            <w:pPr>
              <w:pStyle w:val="Compact"/>
              <w:jc w:val="right"/>
            </w:pPr>
            <w:r>
              <w:t xml:space="preserve">0.0180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1.1331</w:t>
            </w:r>
          </w:p>
        </w:tc>
        <w:tc>
          <w:p>
            <w:pPr>
              <w:pStyle w:val="Compact"/>
              <w:jc w:val="right"/>
            </w:pPr>
            <w:r>
              <w:t xml:space="preserve">0.3278</w:t>
            </w:r>
          </w:p>
        </w:tc>
        <w:tc>
          <w:p>
            <w:pPr>
              <w:pStyle w:val="Compact"/>
              <w:jc w:val="right"/>
            </w:pPr>
            <w:r>
              <w:t xml:space="preserve">3.4569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-1.2405</w:t>
            </w:r>
          </w:p>
        </w:tc>
        <w:tc>
          <w:p>
            <w:pPr>
              <w:pStyle w:val="Compact"/>
              <w:jc w:val="right"/>
            </w:pPr>
            <w:r>
              <w:t xml:space="preserve">0.5146</w:t>
            </w:r>
          </w:p>
        </w:tc>
        <w:tc>
          <w:p>
            <w:pPr>
              <w:pStyle w:val="Compact"/>
              <w:jc w:val="right"/>
            </w:pPr>
            <w:r>
              <w:t xml:space="preserve">-2.4108</w:t>
            </w:r>
          </w:p>
        </w:tc>
        <w:tc>
          <w:p>
            <w:pPr>
              <w:pStyle w:val="Compact"/>
              <w:jc w:val="right"/>
            </w:pPr>
            <w:r>
              <w:t xml:space="preserve">0.0183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0.193.</w:t>
      </w:r>
    </w:p>
    <w:p>
      <w:pPr>
        <w:pStyle w:val="BodyText"/>
      </w:pPr>
      <w:r>
        <w:t xml:space="preserve">Значимы константы для Приволжского, Северо-Западного, Северо-Кавказского и Северного федеральных</w:t>
      </w:r>
      <w:r>
        <w:t xml:space="preserve"> </w:t>
      </w:r>
      <w:r>
        <w:t xml:space="preserve">округов, коэффициент при CapInvests,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(PromPrices с Южным федеральным округом;</w:t>
      </w:r>
      <w:r>
        <w:t xml:space="preserve"> </w:t>
      </w:r>
      <w:r>
        <w:rPr>
          <w:i/>
        </w:rPr>
        <w:t xml:space="preserve">CapInvests с Северо-Западным и Южным федеральными округами)</w:t>
      </w:r>
    </w:p>
    <w:p>
      <w:pPr>
        <w:pStyle w:val="Heading3"/>
      </w:pPr>
      <w:bookmarkStart w:id="46" w:name="модель-с-поправкой-бонферрони-1"/>
      <w:r>
        <w:t xml:space="preserve">Модель с поправкой Бонферрони:</w:t>
      </w:r>
      <w:bookmarkEnd w:id="46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11</m:t>
        </m:r>
        <m:r>
          <m:t>,</m:t>
        </m:r>
        <m:r>
          <m:t>821</m:t>
        </m:r>
        <m:r>
          <m:t>−</m:t>
        </m:r>
        <m:r>
          <m:t>0</m:t>
        </m:r>
        <m:r>
          <m:t>,</m:t>
        </m:r>
        <m:r>
          <m:t>034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t xml:space="preserve">.</w:t>
      </w:r>
    </w:p>
    <w:p>
      <w:pPr>
        <w:pStyle w:val="Heading4"/>
      </w:pPr>
      <w:bookmarkStart w:id="47" w:name="X8416048d16bedc0ef945379f23c062cfdf9a22e"/>
      <w:r>
        <w:t xml:space="preserve">Таблица 9 - описательные статистики логарифмированной модели по федеральным округам с поправкой Бонферрони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4.6416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597.9815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-5.2313</w:t>
            </w:r>
          </w:p>
        </w:tc>
        <w:tc>
          <w:p>
            <w:pPr>
              <w:pStyle w:val="Compact"/>
              <w:jc w:val="right"/>
            </w:pPr>
            <w:r>
              <w:t xml:space="preserve">1.5577</w:t>
            </w:r>
          </w:p>
        </w:tc>
        <w:tc>
          <w:p>
            <w:pPr>
              <w:pStyle w:val="Compact"/>
              <w:jc w:val="right"/>
            </w:pPr>
            <w:r>
              <w:t xml:space="preserve">-3.3583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1.1331</w:t>
            </w:r>
          </w:p>
        </w:tc>
        <w:tc>
          <w:p>
            <w:pPr>
              <w:pStyle w:val="Compact"/>
              <w:jc w:val="right"/>
            </w:pPr>
            <w:r>
              <w:t xml:space="preserve">0.3361</w:t>
            </w:r>
          </w:p>
        </w:tc>
        <w:tc>
          <w:p>
            <w:pPr>
              <w:pStyle w:val="Compact"/>
              <w:jc w:val="right"/>
            </w:pPr>
            <w:r>
              <w:t xml:space="preserve">3.3710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FOСКФО.CapInvests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0.129).</w:t>
      </w:r>
    </w:p>
    <w:p>
      <w:pPr>
        <w:pStyle w:val="BodyText"/>
      </w:pPr>
      <w:r>
        <w:t xml:space="preserve">Сравнивать эту модель с двумя другими нет смысла, так как в ней отсутствуют главные независимые переменные.</w:t>
      </w:r>
    </w:p>
    <w:p>
      <w:pPr>
        <w:pStyle w:val="Heading2"/>
      </w:pPr>
      <w:bookmarkStart w:id="48" w:name="сравнение-моделей-по-качеству.-1"/>
      <w:r>
        <w:t xml:space="preserve">Сравнение моделей по качеству.</w:t>
      </w:r>
      <w:bookmarkEnd w:id="48"/>
    </w:p>
    <w:p>
      <w:pPr>
        <w:pStyle w:val="FirstParagraph"/>
      </w:pPr>
      <w:r>
        <w:t xml:space="preserve">Сравним две полученные модели: изначальную и без поправки по ФО.</w:t>
      </w:r>
    </w:p>
    <w:p>
      <w:pPr>
        <w:pStyle w:val="Heading4"/>
      </w:pPr>
      <w:bookmarkStart w:id="49" w:name="Xe70b41ee1f26c8e3f4c66322f701904834e633a"/>
      <w:r>
        <w:t xml:space="preserve">Таблица 10 - сравнение двух логарифмированных моделей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11,7907 (~ 1% стандартной ошибки);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вторая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вторая, но при том,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t xml:space="preserve">При отношении F расчётного к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скорректированному выбор падает на первую модель. Хоть её коэффициент детерминации ниже, чем у второй, но F в 2,3 раза больше.</w:t>
      </w:r>
    </w:p>
    <w:p>
      <w:pPr>
        <w:pStyle w:val="BodyText"/>
      </w:pP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rPr>
          <w:b/>
        </w:rPr>
        <w:t xml:space="preserve">.</w:t>
      </w:r>
    </w:p>
    <w:p>
      <w:pPr>
        <w:pStyle w:val="BodyText"/>
      </w:pPr>
      <w:r>
        <w:t xml:space="preserve">Сохраним нужные данные для дальнейших лабораторных и пойдём спатеньки uwu.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Кравчук Д. А.</dc:creator>
  <cp:keywords/>
  <dcterms:created xsi:type="dcterms:W3CDTF">2020-12-28T16:48:56Z</dcterms:created>
  <dcterms:modified xsi:type="dcterms:W3CDTF">2020-12-28T16:48:56Z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28 12 2020</vt:lpwstr>
  </property>
  <property fmtid="{D5CDD505-2E9C-101B-9397-08002B2CF9AE}" pid="3" name="output">
    <vt:lpwstr>word_document</vt:lpwstr>
  </property>
</Properties>
</file>