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InventorySystem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InventorySystem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SQLite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Product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Min_Order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Max_Order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Brand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Category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Quantity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Measure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Weight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Order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Supplier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Suplier_Name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Usage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Usage_ID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User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Employee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DOB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Position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Usage_Product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Category_Product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Usage_User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Employee_User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Employee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Order_Product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Product_Quantity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Order_Supplier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Supplier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InventorySystem, sqlite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