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9986" w14:textId="77777777" w:rsidR="00B857DF" w:rsidRDefault="00000000">
      <w:pPr>
        <w:spacing w:before="120" w:after="60"/>
      </w:pPr>
      <w:r>
        <w:rPr>
          <w:b/>
          <w:bCs/>
          <w:color w:val="1A1A2E"/>
          <w:sz w:val="28"/>
          <w:szCs w:val="28"/>
        </w:rPr>
        <w:t xml:space="preserve">Reliance Industries Ltd  </w:t>
      </w:r>
      <w:r>
        <w:rPr>
          <w:color w:val="595959"/>
          <w:sz w:val="19"/>
          <w:szCs w:val="19"/>
        </w:rPr>
        <w:t>NSE: RELIANCE  |  BSE: 500325</w:t>
      </w:r>
      <w:r>
        <w:rPr>
          <w:color w:val="000000"/>
        </w:rPr>
        <w:tab/>
      </w:r>
      <w:r>
        <w:rPr>
          <w:color w:val="595959"/>
          <w:sz w:val="19"/>
          <w:szCs w:val="19"/>
        </w:rPr>
        <w:t>June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780"/>
        <w:gridCol w:w="3500"/>
      </w:tblGrid>
      <w:tr w:rsidR="00B857DF" w14:paraId="304949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9B59" w14:textId="77777777" w:rsidR="00B857DF" w:rsidRDefault="00000000">
            <w:pPr>
              <w:spacing w:after="20"/>
            </w:pPr>
            <w:r>
              <w:rPr>
                <w:color w:val="595959"/>
                <w:sz w:val="16"/>
                <w:szCs w:val="16"/>
              </w:rPr>
              <w:t>RATING</w:t>
            </w:r>
          </w:p>
          <w:p w14:paraId="3E296DF0" w14:textId="77777777" w:rsidR="00B857DF" w:rsidRDefault="00000000">
            <w:pPr>
              <w:spacing w:after="80"/>
            </w:pPr>
            <w:r>
              <w:rPr>
                <w:b/>
                <w:bCs/>
                <w:color w:val="7F6000"/>
              </w:rPr>
              <w:t>NEUTRAL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6A66" w14:textId="77777777" w:rsidR="00B857DF" w:rsidRDefault="00000000">
            <w:pPr>
              <w:spacing w:after="20"/>
            </w:pPr>
            <w:r>
              <w:rPr>
                <w:color w:val="595959"/>
                <w:sz w:val="16"/>
                <w:szCs w:val="16"/>
              </w:rPr>
              <w:t>CMP</w:t>
            </w:r>
          </w:p>
          <w:p w14:paraId="71DDBF91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₹1,309.5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08D2" w14:textId="77777777" w:rsidR="00B857DF" w:rsidRDefault="00000000">
            <w:pPr>
              <w:spacing w:after="20"/>
            </w:pPr>
            <w:r>
              <w:rPr>
                <w:color w:val="595959"/>
                <w:sz w:val="16"/>
                <w:szCs w:val="16"/>
              </w:rPr>
              <w:t>DCF PRICE</w:t>
            </w:r>
          </w:p>
          <w:p w14:paraId="395E56C0" w14:textId="77777777" w:rsidR="00B857DF" w:rsidRDefault="00000000">
            <w:pPr>
              <w:spacing w:after="80"/>
            </w:pPr>
            <w:r>
              <w:rPr>
                <w:b/>
                <w:bCs/>
                <w:color w:val="843C0C"/>
              </w:rPr>
              <w:t>₹381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E441" w14:textId="77777777" w:rsidR="00B857DF" w:rsidRDefault="00000000">
            <w:pPr>
              <w:spacing w:after="20"/>
            </w:pPr>
            <w:r>
              <w:rPr>
                <w:color w:val="595959"/>
                <w:sz w:val="16"/>
                <w:szCs w:val="16"/>
              </w:rPr>
              <w:t>MKT CAP</w:t>
            </w:r>
          </w:p>
          <w:p w14:paraId="026B9005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₹17.7 lakh Cr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D3C6" w14:textId="77777777" w:rsidR="00B857DF" w:rsidRDefault="00000000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Shares: 1,353 Cr  |  FY26 Revenue: ₹10,55,780 Cr  |  FY26 EV: ₹20,30,537 Cr</w:t>
            </w:r>
          </w:p>
        </w:tc>
      </w:tr>
    </w:tbl>
    <w:p w14:paraId="069458A3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t>Investment Thesis</w:t>
      </w:r>
    </w:p>
    <w:p w14:paraId="0419291B" w14:textId="464533B7" w:rsidR="00B857DF" w:rsidRDefault="00000000">
      <w:pPr>
        <w:spacing w:before="60" w:after="60"/>
      </w:pPr>
      <w:r>
        <w:rPr>
          <w:color w:val="1A1A2E"/>
          <w:sz w:val="19"/>
          <w:szCs w:val="19"/>
        </w:rPr>
        <w:t xml:space="preserve">Reliance Industries is India's largest conglomerate by revenue and market cap, operating across O2C (Oil-to-Chemicals), Jio Platforms (digital/telecom), Retail (RRVL), and nascent New Energy verticals. The stock trades at 21.9x FY26 P/E and 11.3x EV/EBITDA </w:t>
      </w:r>
      <w:r w:rsidR="002F0EEA">
        <w:rPr>
          <w:color w:val="1A1A2E"/>
          <w:sz w:val="19"/>
          <w:szCs w:val="19"/>
        </w:rPr>
        <w:t>-</w:t>
      </w:r>
      <w:r>
        <w:rPr>
          <w:color w:val="1A1A2E"/>
          <w:sz w:val="19"/>
          <w:szCs w:val="19"/>
        </w:rPr>
        <w:t xml:space="preserve"> a discount to telecom peer Bharti Airtel (15.4x) and infrastructure peer L&amp;T (17.8x), but a premium to the broader conglomerate basket.</w:t>
      </w:r>
    </w:p>
    <w:p w14:paraId="544A93A6" w14:textId="50EBACED" w:rsidR="00B857DF" w:rsidRDefault="00000000">
      <w:pPr>
        <w:spacing w:after="80"/>
      </w:pPr>
      <w:r>
        <w:rPr>
          <w:color w:val="1A1A2E"/>
          <w:sz w:val="19"/>
          <w:szCs w:val="19"/>
        </w:rPr>
        <w:t xml:space="preserve">Our FCFF-based DCF (WACC 11.0%, terminal growth 5%) yields an intrinsic value of ₹381/share </w:t>
      </w:r>
      <w:r w:rsidR="002F0EEA">
        <w:rPr>
          <w:color w:val="1A1A2E"/>
          <w:sz w:val="19"/>
          <w:szCs w:val="19"/>
        </w:rPr>
        <w:t>-</w:t>
      </w:r>
      <w:r>
        <w:rPr>
          <w:color w:val="1A1A2E"/>
          <w:sz w:val="19"/>
          <w:szCs w:val="19"/>
        </w:rPr>
        <w:t xml:space="preserve"> a 71% discount to the current market price of ₹1,309. This gap is intentional and expected: single-entity DCF cannot capture the embedded optionality in Jio (est. ₹7</w:t>
      </w:r>
      <w:r w:rsidR="002F0EEA">
        <w:rPr>
          <w:color w:val="1A1A2E"/>
          <w:sz w:val="19"/>
          <w:szCs w:val="19"/>
        </w:rPr>
        <w:t>-</w:t>
      </w:r>
      <w:r>
        <w:rPr>
          <w:color w:val="1A1A2E"/>
          <w:sz w:val="19"/>
          <w:szCs w:val="19"/>
        </w:rPr>
        <w:t>9 lakh Cr standalone value), RRVL Retail, and the ₹75,000 Cr New Energy platform. The market is effectively paying ₹929/share for these high-growth options beyond the hard earnings stream. We rate the stock NEUTRAL pending a formal SOTP that closes the valuation gap.</w:t>
      </w:r>
    </w:p>
    <w:p w14:paraId="4C0F32E7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t>Financial Summary  (₹ Crore)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1480"/>
        <w:gridCol w:w="1480"/>
        <w:gridCol w:w="1480"/>
        <w:gridCol w:w="1480"/>
        <w:gridCol w:w="1480"/>
      </w:tblGrid>
      <w:tr w:rsidR="00B857DF" w14:paraId="3F6B6738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9B76" w14:textId="77777777" w:rsidR="00B857DF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EC03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FY24A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3096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FY25A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A35C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FY26A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C115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YoY FY25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3978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YoY FY26</w:t>
            </w:r>
          </w:p>
        </w:tc>
      </w:tr>
      <w:tr w:rsidR="00B857DF" w14:paraId="6D334FA6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92C8" w14:textId="77777777" w:rsidR="00B857DF" w:rsidRDefault="00000000">
            <w:pPr>
              <w:spacing w:after="80"/>
            </w:pPr>
            <w:r>
              <w:rPr>
                <w:color w:val="1A1A2E"/>
                <w:sz w:val="18"/>
                <w:szCs w:val="18"/>
              </w:rPr>
              <w:t>Revenue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2C86B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8,99,041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6878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9,62,820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94E3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1A1A2E"/>
                <w:sz w:val="18"/>
                <w:szCs w:val="18"/>
              </w:rPr>
              <w:t>10,55,780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CBBD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+7.1%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F47E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+9.7%</w:t>
            </w:r>
          </w:p>
        </w:tc>
      </w:tr>
      <w:tr w:rsidR="00B857DF" w14:paraId="7183DA91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9740" w14:textId="77777777" w:rsidR="00B857DF" w:rsidRDefault="00000000">
            <w:pPr>
              <w:spacing w:after="80"/>
            </w:pPr>
            <w:r>
              <w:rPr>
                <w:color w:val="1A1A2E"/>
                <w:sz w:val="18"/>
                <w:szCs w:val="18"/>
              </w:rPr>
              <w:t>EBITDA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6D82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1,62,498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E65A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1,65,598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C12B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1A1A2E"/>
                <w:sz w:val="18"/>
                <w:szCs w:val="18"/>
              </w:rPr>
              <w:t>1,79,065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6A7C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+1.9%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E50B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+8.1%</w:t>
            </w:r>
          </w:p>
        </w:tc>
      </w:tr>
      <w:tr w:rsidR="00B857DF" w14:paraId="17D13A0A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EB61" w14:textId="77777777" w:rsidR="00B857DF" w:rsidRDefault="00000000">
            <w:pPr>
              <w:spacing w:after="80"/>
            </w:pPr>
            <w:r>
              <w:rPr>
                <w:color w:val="1A1A2E"/>
                <w:sz w:val="18"/>
                <w:szCs w:val="18"/>
              </w:rPr>
              <w:t xml:space="preserve">  EBITDA Margin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C812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18.1%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4097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17.2%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C9D5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1A1A2E"/>
                <w:sz w:val="18"/>
                <w:szCs w:val="18"/>
              </w:rPr>
              <w:t>17.0%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B636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-90 bps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21A8B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-20 bps</w:t>
            </w:r>
          </w:p>
        </w:tc>
      </w:tr>
      <w:tr w:rsidR="00B857DF" w14:paraId="5D5F5F49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488E" w14:textId="77777777" w:rsidR="00B857DF" w:rsidRDefault="00000000">
            <w:pPr>
              <w:spacing w:after="80"/>
            </w:pPr>
            <w:r>
              <w:rPr>
                <w:color w:val="1A1A2E"/>
                <w:sz w:val="18"/>
                <w:szCs w:val="18"/>
              </w:rPr>
              <w:t>PAT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4EE4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69,621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82D4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69,648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DE8C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1A1A2E"/>
                <w:sz w:val="18"/>
                <w:szCs w:val="18"/>
              </w:rPr>
              <w:t>80,775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9167" w14:textId="77777777" w:rsidR="00B857DF" w:rsidRDefault="00000000">
            <w:pPr>
              <w:spacing w:after="80"/>
              <w:jc w:val="right"/>
            </w:pPr>
            <w:r>
              <w:rPr>
                <w:color w:val="595959"/>
                <w:sz w:val="18"/>
                <w:szCs w:val="18"/>
              </w:rPr>
              <w:t>flat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EF84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+16.0%</w:t>
            </w:r>
          </w:p>
        </w:tc>
      </w:tr>
      <w:tr w:rsidR="00B857DF" w14:paraId="39BC8A21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6689" w14:textId="77777777" w:rsidR="00B857DF" w:rsidRDefault="00000000">
            <w:pPr>
              <w:spacing w:after="80"/>
            </w:pPr>
            <w:r>
              <w:rPr>
                <w:color w:val="1A1A2E"/>
                <w:sz w:val="18"/>
                <w:szCs w:val="18"/>
              </w:rPr>
              <w:t>Net Debt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68A5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2,53,494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315F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2,67,811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E286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1A1A2E"/>
                <w:sz w:val="18"/>
                <w:szCs w:val="18"/>
              </w:rPr>
              <w:t>2,56,985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26CB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+5.7%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F3BD" w14:textId="77777777" w:rsidR="00B857DF" w:rsidRDefault="00000000">
            <w:pPr>
              <w:spacing w:after="80"/>
              <w:jc w:val="right"/>
            </w:pPr>
            <w:r>
              <w:rPr>
                <w:color w:val="1A1A2E"/>
                <w:sz w:val="18"/>
                <w:szCs w:val="18"/>
              </w:rPr>
              <w:t>-4.0%</w:t>
            </w:r>
          </w:p>
        </w:tc>
      </w:tr>
    </w:tbl>
    <w:p w14:paraId="110BE01E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t>Valuation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60"/>
        <w:gridCol w:w="2560"/>
        <w:gridCol w:w="2560"/>
      </w:tblGrid>
      <w:tr w:rsidR="00B857DF" w14:paraId="210CFE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A75B" w14:textId="77777777" w:rsidR="00B857DF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E1A56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2BA3" w14:textId="77777777" w:rsidR="00B857DF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Assumptions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D04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vs Market</w:t>
            </w:r>
          </w:p>
        </w:tc>
      </w:tr>
      <w:tr w:rsidR="00B857DF" w14:paraId="69737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825B0" w14:textId="77777777" w:rsidR="00B857DF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DCF (FCFF)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7EDF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843C0C"/>
                <w:sz w:val="18"/>
                <w:szCs w:val="18"/>
              </w:rPr>
              <w:t>₹381 / share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F1C0" w14:textId="77777777" w:rsidR="00B857DF" w:rsidRDefault="00000000">
            <w:pPr>
              <w:spacing w:after="80"/>
            </w:pPr>
            <w:r>
              <w:rPr>
                <w:color w:val="595959"/>
                <w:sz w:val="18"/>
                <w:szCs w:val="18"/>
              </w:rPr>
              <w:t>WACC 11.0%, g 5.0%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2A3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843C0C"/>
                <w:sz w:val="18"/>
                <w:szCs w:val="18"/>
              </w:rPr>
              <w:t>-71%</w:t>
            </w:r>
          </w:p>
        </w:tc>
      </w:tr>
      <w:tr w:rsidR="00B857DF" w14:paraId="56710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CDEF" w14:textId="77777777" w:rsidR="00B857DF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Market EV/EBITDA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0C10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11.3x FY26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8B2A" w14:textId="77777777" w:rsidR="00B857DF" w:rsidRDefault="00000000">
            <w:pPr>
              <w:spacing w:after="80"/>
            </w:pPr>
            <w:r>
              <w:rPr>
                <w:color w:val="595959"/>
                <w:sz w:val="18"/>
                <w:szCs w:val="18"/>
              </w:rPr>
              <w:t>Peer median: ~15.4x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C3CA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~26% discount</w:t>
            </w:r>
          </w:p>
        </w:tc>
      </w:tr>
      <w:tr w:rsidR="00B857DF" w14:paraId="2227B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4D154" w14:textId="77777777" w:rsidR="00B857DF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Market P/E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5DBA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21.9x FY26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9D15" w14:textId="77777777" w:rsidR="00B857DF" w:rsidRDefault="00000000">
            <w:pPr>
              <w:spacing w:after="80"/>
            </w:pPr>
            <w:r>
              <w:rPr>
                <w:color w:val="595959"/>
                <w:sz w:val="18"/>
                <w:szCs w:val="18"/>
              </w:rPr>
              <w:t>Peer median: ~32.6x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19C7" w14:textId="77777777" w:rsidR="00B857DF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~33% discount</w:t>
            </w:r>
          </w:p>
        </w:tc>
      </w:tr>
    </w:tbl>
    <w:p w14:paraId="68B357D5" w14:textId="77777777" w:rsidR="00B857DF" w:rsidRDefault="00000000">
      <w:pPr>
        <w:spacing w:before="40" w:after="60"/>
      </w:pPr>
      <w:r>
        <w:rPr>
          <w:i/>
          <w:iCs/>
          <w:color w:val="595959"/>
          <w:sz w:val="16"/>
          <w:szCs w:val="16"/>
        </w:rPr>
        <w:t>Note: DCF uses single-entity FCFF. Jio Platforms, Retail, and New Energy optionality are not captured and account for the ~₹929/share gap between DCF and market price. A full SOTP would be required for a formal price target.</w:t>
      </w:r>
    </w:p>
    <w:p w14:paraId="433D84C8" w14:textId="77777777" w:rsidR="00B857DF" w:rsidRDefault="00000000">
      <w:r>
        <w:br w:type="page"/>
      </w:r>
    </w:p>
    <w:p w14:paraId="2A1BD6E8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lastRenderedPageBreak/>
        <w:t>Comparable Company Analysis  (FY25, ₹ Crore)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200"/>
        <w:gridCol w:w="1280"/>
        <w:gridCol w:w="1280"/>
        <w:gridCol w:w="1120"/>
        <w:gridCol w:w="1100"/>
        <w:gridCol w:w="800"/>
      </w:tblGrid>
      <w:tr w:rsidR="00B857DF" w14:paraId="164974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4B7D" w14:textId="77777777" w:rsidR="00B857DF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BFA5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Mkt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0F07D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EV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B33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Revenue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53917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EBITDA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FC79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EBT Mg%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94FC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EV/EBTDA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D5819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P/E</w:t>
            </w:r>
          </w:p>
        </w:tc>
      </w:tr>
      <w:tr w:rsidR="00B857DF" w14:paraId="2EF05B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D02A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Reliance (FY26)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A163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17,72,553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53C4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20,29,537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6955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10,55,780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C7A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1,79,065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55EF4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17.0%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8CF6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11.3x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7670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21.9x</w:t>
            </w:r>
          </w:p>
        </w:tc>
      </w:tr>
      <w:tr w:rsidR="00B857DF" w14:paraId="54EDC8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6C79" w14:textId="77777777" w:rsidR="00B857DF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Adani Enterprises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35C5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2,63,909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C247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3,47,728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CCFF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97,895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3D1D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14,252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395A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14.6%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3E43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24.4x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60E3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71.6x</w:t>
            </w:r>
          </w:p>
        </w:tc>
      </w:tr>
      <w:tr w:rsidR="00B857DF" w14:paraId="7DF564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E968D" w14:textId="77777777" w:rsidR="00B857DF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Tata Motors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655B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2,66,787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2E7E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3,03,327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A131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4,39,695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B395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56,138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52B8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12.8%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0C6C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5.4x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722F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11.2x</w:t>
            </w:r>
          </w:p>
        </w:tc>
      </w:tr>
      <w:tr w:rsidR="00B857DF" w14:paraId="31BBA0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52A8" w14:textId="77777777" w:rsidR="00B857DF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Larsen &amp; Toubro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E074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5,35,675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B1C9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6,13,279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1383A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2,55,734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B221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34,427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8A83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73FF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17.8x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BE26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32.6x</w:t>
            </w:r>
          </w:p>
        </w:tc>
      </w:tr>
      <w:tr w:rsidR="00B857DF" w14:paraId="3798F5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FE9F" w14:textId="77777777" w:rsidR="00B857DF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Bharti Airtel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DC72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11,13,302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F494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13,08,944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B292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1,72,985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7EF4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85,060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E3068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49.2%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D07B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15.4x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028F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36.3x</w:t>
            </w:r>
          </w:p>
        </w:tc>
      </w:tr>
      <w:tr w:rsidR="00B857DF" w14:paraId="6CE74E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88C0" w14:textId="77777777" w:rsidR="00B857DF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ITC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E7F8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3,55,462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F41B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3,21,027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8692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75,323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79C47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25,839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38C5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34.3%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A379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12.4x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44DB" w14:textId="77777777" w:rsidR="00B857DF" w:rsidRDefault="00000000">
            <w:pPr>
              <w:spacing w:after="80"/>
              <w:jc w:val="right"/>
            </w:pPr>
            <w:r>
              <w:rPr>
                <w:color w:val="000000"/>
                <w:sz w:val="17"/>
                <w:szCs w:val="17"/>
              </w:rPr>
              <w:t>17.0x</w:t>
            </w:r>
          </w:p>
        </w:tc>
      </w:tr>
      <w:tr w:rsidR="00B857DF" w14:paraId="7C698B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BAB3" w14:textId="77777777" w:rsidR="00B857DF" w:rsidRDefault="00000000">
            <w:pPr>
              <w:spacing w:after="80"/>
            </w:pPr>
            <w:r>
              <w:rPr>
                <w:b/>
                <w:bCs/>
                <w:color w:val="4472C4"/>
                <w:sz w:val="17"/>
                <w:szCs w:val="17"/>
              </w:rPr>
              <w:t>Peer Median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1A73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9B2D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D3C9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6F9A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5FE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24.9%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1B06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4472C4"/>
                <w:sz w:val="17"/>
                <w:szCs w:val="17"/>
              </w:rPr>
              <w:t>15.4x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7851" w14:textId="77777777" w:rsidR="00B857DF" w:rsidRDefault="00000000">
            <w:pPr>
              <w:spacing w:after="80"/>
              <w:jc w:val="right"/>
            </w:pPr>
            <w:r>
              <w:rPr>
                <w:b/>
                <w:bCs/>
                <w:color w:val="4472C4"/>
                <w:sz w:val="17"/>
                <w:szCs w:val="17"/>
              </w:rPr>
              <w:t>32.6x</w:t>
            </w:r>
          </w:p>
        </w:tc>
      </w:tr>
    </w:tbl>
    <w:p w14:paraId="78204AEE" w14:textId="77777777" w:rsidR="00B857DF" w:rsidRDefault="00000000">
      <w:pPr>
        <w:spacing w:before="40" w:after="60"/>
      </w:pPr>
      <w:r>
        <w:rPr>
          <w:i/>
          <w:iCs/>
          <w:color w:val="595959"/>
          <w:sz w:val="16"/>
          <w:szCs w:val="16"/>
        </w:rPr>
        <w:t>RIL trades at a 26% discount on EV/EBITDA and 33% on P/E vs peer medians, reflecting heavier capital intensity and near-term FCFF compression from ongoing capex. Bharti Airtel (15.4x EV/EBITDA) is the closest telecom/infra comparable for Jio.</w:t>
      </w:r>
    </w:p>
    <w:p w14:paraId="09E779A3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t>Scenario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60"/>
        <w:gridCol w:w="2860"/>
        <w:gridCol w:w="2860"/>
      </w:tblGrid>
      <w:tr w:rsidR="00B857DF" w14:paraId="0ABC7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085B" w14:textId="77777777" w:rsidR="00B857DF" w:rsidRDefault="00B857DF">
            <w:pPr>
              <w:spacing w:after="80"/>
            </w:pP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4FFE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BULL CASE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A14E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7F6000"/>
                <w:sz w:val="19"/>
                <w:szCs w:val="19"/>
              </w:rPr>
              <w:t>BASE CASE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2BF7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843C0C"/>
                <w:sz w:val="19"/>
                <w:szCs w:val="19"/>
              </w:rPr>
              <w:t>BEAR CASE</w:t>
            </w:r>
          </w:p>
        </w:tc>
      </w:tr>
      <w:tr w:rsidR="00B857DF" w14:paraId="6F4141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8085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Probability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5B0A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30%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57B1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7F6000"/>
                <w:sz w:val="17"/>
                <w:szCs w:val="17"/>
              </w:rPr>
              <w:t>50%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D898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843C0C"/>
                <w:sz w:val="17"/>
                <w:szCs w:val="17"/>
              </w:rPr>
              <w:t>20%</w:t>
            </w:r>
          </w:p>
        </w:tc>
      </w:tr>
      <w:tr w:rsidR="00B857DF" w14:paraId="2921C7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A08B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Jio 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D5D3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Successful monetisation of 5G; Jio platform IPO at ₹10L Cr valuation drives re-rating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FDFC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Steady ARPU uplift; Jio contributes 40%+ of consol. EBITDA by FY28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6977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Intense competition from Airtel/Vi delays ARPU recovery; Jio IPO deferred</w:t>
            </w:r>
          </w:p>
        </w:tc>
      </w:tr>
      <w:tr w:rsidR="00B857DF" w14:paraId="44F0DC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7DD0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New Energy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4544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₹75K Cr capex delivers giga-scale by FY28; green H₂ export contracts materialise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1E18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Projects on track; contribution to EBITDA begins FY27 at modest scale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30C6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Policy delays; solar manufacturing margin disappoints; capex overruns widen net debt</w:t>
            </w:r>
          </w:p>
        </w:tc>
      </w:tr>
      <w:tr w:rsidR="00B857DF" w14:paraId="0E014C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0435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O2C Cycle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52BA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Crude normalises; refining spreads recover to $9–10/</w:t>
            </w:r>
            <w:proofErr w:type="spellStart"/>
            <w:r>
              <w:rPr>
                <w:color w:val="000000"/>
                <w:sz w:val="17"/>
                <w:szCs w:val="17"/>
              </w:rPr>
              <w:t>bbl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petchem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demand returns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6B82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O2C EBITDA holds at ₹60–65K Cr; margins stable at ~10%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2E13" w14:textId="77777777" w:rsidR="00B857DF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 xml:space="preserve">Refining margin compression; China </w:t>
            </w:r>
            <w:proofErr w:type="spellStart"/>
            <w:r>
              <w:rPr>
                <w:color w:val="000000"/>
                <w:sz w:val="17"/>
                <w:szCs w:val="17"/>
              </w:rPr>
              <w:t>petchem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oversupply persists into FY27</w:t>
            </w:r>
          </w:p>
        </w:tc>
      </w:tr>
      <w:tr w:rsidR="00B857DF" w14:paraId="0C87E1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E3F7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Implied Price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77B7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₹1,700–2,000+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5A10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7F6000"/>
                <w:sz w:val="19"/>
                <w:szCs w:val="19"/>
              </w:rPr>
              <w:t>₹1,100–1,400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BC3B" w14:textId="77777777" w:rsidR="00B857DF" w:rsidRDefault="00000000">
            <w:pPr>
              <w:spacing w:after="80"/>
              <w:jc w:val="center"/>
            </w:pPr>
            <w:r>
              <w:rPr>
                <w:b/>
                <w:bCs/>
                <w:color w:val="843C0C"/>
                <w:sz w:val="19"/>
                <w:szCs w:val="19"/>
              </w:rPr>
              <w:t>₹800–950</w:t>
            </w:r>
          </w:p>
        </w:tc>
      </w:tr>
    </w:tbl>
    <w:p w14:paraId="53E4A7F4" w14:textId="77777777" w:rsidR="00B857DF" w:rsidRDefault="00000000">
      <w:pPr>
        <w:shd w:val="clear" w:color="auto" w:fill="1F497D"/>
        <w:spacing w:before="120" w:after="40"/>
        <w:ind w:left="80"/>
      </w:pPr>
      <w:r>
        <w:rPr>
          <w:b/>
          <w:bCs/>
          <w:caps/>
          <w:color w:val="FFFFFF"/>
          <w:sz w:val="19"/>
          <w:szCs w:val="19"/>
        </w:rPr>
        <w:t>Key Risks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"/>
        <w:gridCol w:w="4872"/>
        <w:gridCol w:w="264"/>
        <w:gridCol w:w="4680"/>
      </w:tblGrid>
      <w:tr w:rsidR="00B857DF" w14:paraId="5C43EAE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0B4B" w14:textId="77777777" w:rsidR="00B857DF" w:rsidRDefault="00000000">
            <w:pPr>
              <w:spacing w:after="80"/>
            </w:pPr>
            <w:r>
              <w:rPr>
                <w:b/>
                <w:bCs/>
                <w:color w:val="843C0C"/>
                <w:sz w:val="18"/>
                <w:szCs w:val="18"/>
              </w:rPr>
              <w:t>▪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F2F2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Refining margin risk: </w:t>
            </w:r>
            <w:r>
              <w:rPr>
                <w:color w:val="000000"/>
                <w:sz w:val="18"/>
                <w:szCs w:val="18"/>
              </w:rPr>
              <w:t xml:space="preserve">GRM compression from Chinese overcapacity and weak global </w:t>
            </w:r>
            <w:proofErr w:type="spellStart"/>
            <w:r>
              <w:rPr>
                <w:color w:val="000000"/>
                <w:sz w:val="18"/>
                <w:szCs w:val="18"/>
              </w:rPr>
              <w:t>petchem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demand could weigh on O2C segment (est. 50% of EBITDA).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9F851" w14:textId="77777777" w:rsidR="00B857DF" w:rsidRDefault="00000000">
            <w:pPr>
              <w:spacing w:after="80"/>
            </w:pPr>
            <w:r>
              <w:rPr>
                <w:b/>
                <w:bCs/>
                <w:color w:val="843C0C"/>
                <w:sz w:val="18"/>
                <w:szCs w:val="18"/>
              </w:rPr>
              <w:t>▪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236E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Leverage risk: </w:t>
            </w:r>
            <w:r>
              <w:rPr>
                <w:color w:val="000000"/>
                <w:sz w:val="18"/>
                <w:szCs w:val="18"/>
              </w:rPr>
              <w:t>Net debt of ₹2.57 lakh Cr remains elevated; continued capex for New Energy could delay FCF inflection.</w:t>
            </w:r>
          </w:p>
        </w:tc>
      </w:tr>
      <w:tr w:rsidR="00B857DF" w14:paraId="2D8A391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A09A" w14:textId="77777777" w:rsidR="00B857DF" w:rsidRDefault="00000000">
            <w:pPr>
              <w:spacing w:after="80"/>
            </w:pPr>
            <w:r>
              <w:rPr>
                <w:b/>
                <w:bCs/>
                <w:color w:val="843C0C"/>
                <w:sz w:val="18"/>
                <w:szCs w:val="18"/>
              </w:rPr>
              <w:t>▪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FC40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Regulatory risk: </w:t>
            </w:r>
            <w:r>
              <w:rPr>
                <w:color w:val="000000"/>
                <w:sz w:val="18"/>
                <w:szCs w:val="18"/>
              </w:rPr>
              <w:t>Telecom tariff regulation, AGR-style levies, or data localisation mandates could impair Jio's economics.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07F5" w14:textId="77777777" w:rsidR="00B857DF" w:rsidRDefault="00000000">
            <w:pPr>
              <w:spacing w:after="80"/>
            </w:pPr>
            <w:r>
              <w:rPr>
                <w:b/>
                <w:bCs/>
                <w:color w:val="843C0C"/>
                <w:sz w:val="18"/>
                <w:szCs w:val="18"/>
              </w:rPr>
              <w:t>▪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FA46" w14:textId="77777777" w:rsidR="00B857DF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Conglomerate discount: </w:t>
            </w:r>
            <w:r>
              <w:rPr>
                <w:color w:val="000000"/>
                <w:sz w:val="18"/>
                <w:szCs w:val="18"/>
              </w:rPr>
              <w:t>Market may continue to apply a discount for complexity, related-party transactions, and governance perceptions.</w:t>
            </w:r>
          </w:p>
        </w:tc>
      </w:tr>
    </w:tbl>
    <w:p w14:paraId="2ABC9274" w14:textId="77777777" w:rsidR="00021BA2" w:rsidRDefault="00021BA2"/>
    <w:sectPr w:rsidR="00021BA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062B" w14:textId="77777777" w:rsidR="00021BA2" w:rsidRDefault="00021BA2">
      <w:r>
        <w:separator/>
      </w:r>
    </w:p>
  </w:endnote>
  <w:endnote w:type="continuationSeparator" w:id="0">
    <w:p w14:paraId="77BF6C1D" w14:textId="77777777" w:rsidR="00021BA2" w:rsidRDefault="00021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38D1" w14:textId="77777777" w:rsidR="00B857DF" w:rsidRDefault="00000000">
    <w:pPr>
      <w:pBdr>
        <w:top w:val="single" w:sz="4" w:space="0" w:color="1F497D"/>
      </w:pBdr>
      <w:spacing w:before="60" w:after="80"/>
    </w:pPr>
    <w:r>
      <w:rPr>
        <w:i/>
        <w:iCs/>
        <w:color w:val="595959"/>
        <w:sz w:val="15"/>
        <w:szCs w:val="15"/>
      </w:rPr>
      <w:t xml:space="preserve">For academic and portfolio use only. Not investment advice. Data: Screener.in, Company Filings (FY26). </w:t>
    </w: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2F0EEA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0CE3" w14:textId="77777777" w:rsidR="00021BA2" w:rsidRDefault="00021BA2">
      <w:r>
        <w:separator/>
      </w:r>
    </w:p>
  </w:footnote>
  <w:footnote w:type="continuationSeparator" w:id="0">
    <w:p w14:paraId="4D3DEE22" w14:textId="77777777" w:rsidR="00021BA2" w:rsidRDefault="00021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3F23" w14:textId="77777777" w:rsidR="00B857DF" w:rsidRDefault="00000000">
    <w:pPr>
      <w:shd w:val="clear" w:color="auto" w:fill="1F497D"/>
      <w:spacing w:after="80"/>
      <w:ind w:left="60" w:right="60"/>
    </w:pPr>
    <w:r>
      <w:rPr>
        <w:b/>
        <w:bCs/>
        <w:color w:val="FFFFFF"/>
        <w:sz w:val="19"/>
        <w:szCs w:val="19"/>
      </w:rPr>
      <w:t>RELIANCE INDUSTRIES LTD</w:t>
    </w:r>
    <w:r>
      <w:rPr>
        <w:color w:val="000000"/>
      </w:rPr>
      <w:tab/>
    </w:r>
    <w:r>
      <w:rPr>
        <w:color w:val="FFFFFF"/>
        <w:sz w:val="17"/>
        <w:szCs w:val="17"/>
      </w:rPr>
      <w:t>Equity Research  |  India Large-Cap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F77A4"/>
    <w:multiLevelType w:val="hybridMultilevel"/>
    <w:tmpl w:val="89980124"/>
    <w:lvl w:ilvl="0" w:tplc="20443F04">
      <w:start w:val="1"/>
      <w:numFmt w:val="bullet"/>
      <w:lvlText w:val="●"/>
      <w:lvlJc w:val="left"/>
      <w:pPr>
        <w:ind w:left="720" w:hanging="360"/>
      </w:pPr>
    </w:lvl>
    <w:lvl w:ilvl="1" w:tplc="E3C0E70C">
      <w:start w:val="1"/>
      <w:numFmt w:val="bullet"/>
      <w:lvlText w:val="○"/>
      <w:lvlJc w:val="left"/>
      <w:pPr>
        <w:ind w:left="1440" w:hanging="360"/>
      </w:pPr>
    </w:lvl>
    <w:lvl w:ilvl="2" w:tplc="7AEAE6F4">
      <w:start w:val="1"/>
      <w:numFmt w:val="bullet"/>
      <w:lvlText w:val="■"/>
      <w:lvlJc w:val="left"/>
      <w:pPr>
        <w:ind w:left="2160" w:hanging="360"/>
      </w:pPr>
    </w:lvl>
    <w:lvl w:ilvl="3" w:tplc="B3EC0692">
      <w:start w:val="1"/>
      <w:numFmt w:val="bullet"/>
      <w:lvlText w:val="●"/>
      <w:lvlJc w:val="left"/>
      <w:pPr>
        <w:ind w:left="2880" w:hanging="360"/>
      </w:pPr>
    </w:lvl>
    <w:lvl w:ilvl="4" w:tplc="7FB26B0A">
      <w:start w:val="1"/>
      <w:numFmt w:val="bullet"/>
      <w:lvlText w:val="○"/>
      <w:lvlJc w:val="left"/>
      <w:pPr>
        <w:ind w:left="3600" w:hanging="360"/>
      </w:pPr>
    </w:lvl>
    <w:lvl w:ilvl="5" w:tplc="EB04763E">
      <w:start w:val="1"/>
      <w:numFmt w:val="bullet"/>
      <w:lvlText w:val="■"/>
      <w:lvlJc w:val="left"/>
      <w:pPr>
        <w:ind w:left="4320" w:hanging="360"/>
      </w:pPr>
    </w:lvl>
    <w:lvl w:ilvl="6" w:tplc="8D429C66">
      <w:start w:val="1"/>
      <w:numFmt w:val="bullet"/>
      <w:lvlText w:val="●"/>
      <w:lvlJc w:val="left"/>
      <w:pPr>
        <w:ind w:left="5040" w:hanging="360"/>
      </w:pPr>
    </w:lvl>
    <w:lvl w:ilvl="7" w:tplc="647EA406">
      <w:start w:val="1"/>
      <w:numFmt w:val="bullet"/>
      <w:lvlText w:val="●"/>
      <w:lvlJc w:val="left"/>
      <w:pPr>
        <w:ind w:left="5760" w:hanging="360"/>
      </w:pPr>
    </w:lvl>
    <w:lvl w:ilvl="8" w:tplc="11B80E50">
      <w:start w:val="1"/>
      <w:numFmt w:val="bullet"/>
      <w:lvlText w:val="●"/>
      <w:lvlJc w:val="left"/>
      <w:pPr>
        <w:ind w:left="6480" w:hanging="360"/>
      </w:pPr>
    </w:lvl>
  </w:abstractNum>
  <w:num w:numId="1" w16cid:durableId="1746802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7DF"/>
    <w:rsid w:val="00021BA2"/>
    <w:rsid w:val="002F0EEA"/>
    <w:rsid w:val="003317FD"/>
    <w:rsid w:val="00B8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5A3D0"/>
  <w15:docId w15:val="{71C727A1-6E88-4348-AF3E-5D5FF91D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Daipayan Majumder</cp:lastModifiedBy>
  <cp:revision>2</cp:revision>
  <dcterms:created xsi:type="dcterms:W3CDTF">2026-06-19T16:45:00Z</dcterms:created>
  <dcterms:modified xsi:type="dcterms:W3CDTF">2026-06-19T17:02:00Z</dcterms:modified>
</cp:coreProperties>
</file>