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1E41" w:color="auto" w:val="clear"/>
            <w:tcMar>
              <w:top w:type="dxa" w:w="620"/>
              <w:left w:type="dxa" w:w="460"/>
              <w:bottom w:type="dxa" w:w="620"/>
              <w:right w:type="dxa" w:w="460"/>
            </w:tcMar>
          </w:tcPr>
          <w:p>
            <w:pPr>
              <w:spacing w:after="260"/>
            </w:pPr>
            <w:r>
              <w:rPr>
                <w:rFonts w:ascii="Arial" w:cs="Arial" w:eastAsia="Arial" w:hAnsi="Arial"/>
                <w:b/>
                <w:bCs/>
                <w:color w:val="C89B2C"/>
                <w:spacing w:val="34"/>
                <w:sz w:val="15"/>
                <w:szCs w:val="15"/>
              </w:rPr>
              <w:t xml:space="preserve">ON-SCREEN WORKING SESSION AGENDA</w:t>
            </w:r>
          </w:p>
          <w:p>
            <w:pPr>
              <w:spacing w:after="40" w:line="400"/>
            </w:pPr>
            <w:r>
              <w:rPr>
                <w:rFonts w:ascii="Cambria" w:cs="Cambria" w:eastAsia="Cambria" w:hAnsi="Cambria"/>
                <w:color w:val="FFFFFF"/>
                <w:sz w:val="46"/>
                <w:szCs w:val="46"/>
              </w:rPr>
              <w:t xml:space="preserve">Ascend Family Vault</w:t>
            </w:r>
          </w:p>
          <w:p>
            <w:pPr>
              <w:spacing w:after="240" w:line="400"/>
            </w:pPr>
            <w:r>
              <w:rPr>
                <w:rFonts w:ascii="Cambria" w:cs="Cambria" w:eastAsia="Cambria" w:hAnsi="Cambria"/>
                <w:color w:val="FFFFFF"/>
                <w:sz w:val="46"/>
                <w:szCs w:val="46"/>
              </w:rPr>
              <w:t xml:space="preserve">Working Session</w:t>
            </w:r>
          </w:p>
          <w:p>
            <w:pPr>
              <w:spacing w:after="330" w:line="320"/>
            </w:pPr>
            <w:r>
              <w:rPr>
                <w:rFonts w:ascii="Arial" w:cs="Arial" w:eastAsia="Arial" w:hAnsi="Arial"/>
                <w:color w:val="C7D6EE"/>
                <w:sz w:val="20"/>
                <w:szCs w:val="20"/>
              </w:rPr>
              <w:t xml:space="preserve">A concept development session run to a decision standard: one lead customer, one lead workflow, one set of guardrails, and named owners before we close.</w:t>
            </w:r>
          </w:p>
          <w:p>
            <w:pPr>
              <w:pBdr>
                <w:top w:val="single" w:color="1E3C63" w:sz="4"/>
              </w:pBdr>
              <w:spacing w:after="0" w:line="300"/>
            </w:pPr>
          </w:p>
          <w:p>
            <w:pPr>
              <w:tabs>
                <w:tab w:val="left" w:pos="2150"/>
              </w:tabs>
              <w:spacing w:after="0" w:before="190" w:line="280"/>
              <w:ind w:left="2150" w:hanging="2150"/>
            </w:pPr>
            <w:r>
              <w:rPr>
                <w:rFonts w:ascii="Arial" w:cs="Arial" w:eastAsia="Arial" w:hAnsi="Arial"/>
                <w:b/>
                <w:bCs/>
                <w:color w:val="8FA9CC"/>
                <w:spacing w:val="20"/>
                <w:sz w:val="14"/>
                <w:szCs w:val="14"/>
              </w:rPr>
              <w:t xml:space="preserve">DATE</w:t>
            </w: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	Thursday, August 27, 2026</w:t>
            </w:r>
          </w:p>
          <w:p>
            <w:pPr>
              <w:tabs>
                <w:tab w:val="left" w:pos="2150"/>
              </w:tabs>
              <w:spacing w:after="0" w:before="190" w:line="280"/>
              <w:ind w:left="2150" w:hanging="2150"/>
            </w:pPr>
            <w:r>
              <w:rPr>
                <w:rFonts w:ascii="Arial" w:cs="Arial" w:eastAsia="Arial" w:hAnsi="Arial"/>
                <w:b/>
                <w:bCs/>
                <w:color w:val="8FA9CC"/>
                <w:spacing w:val="20"/>
                <w:sz w:val="14"/>
                <w:szCs w:val="14"/>
              </w:rPr>
              <w:t xml:space="preserve">TIME</w:t>
            </w: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	1:30–3:30 PM Eastern · 10:30 AM–12:30 PM Pacific · optional extension to 4:30 PM ET</w:t>
            </w:r>
          </w:p>
          <w:p>
            <w:pPr>
              <w:tabs>
                <w:tab w:val="left" w:pos="2150"/>
              </w:tabs>
              <w:spacing w:after="0" w:before="190" w:line="280"/>
              <w:ind w:left="2150" w:hanging="2150"/>
            </w:pPr>
            <w:r>
              <w:rPr>
                <w:rFonts w:ascii="Arial" w:cs="Arial" w:eastAsia="Arial" w:hAnsi="Arial"/>
                <w:b/>
                <w:bCs/>
                <w:color w:val="8FA9CC"/>
                <w:spacing w:val="20"/>
                <w:sz w:val="14"/>
                <w:szCs w:val="14"/>
              </w:rPr>
              <w:t xml:space="preserve">IN THE ROOM</w:t>
            </w: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	Eric Rice · Isaiah Harrison · Dana Ammons · Serena Boykin (observing)</w:t>
            </w:r>
          </w:p>
        </w:tc>
      </w:tr>
    </w:tbl>
    <w:p>
      <w:pPr>
        <w:spacing w:after="2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210"/>
              <w:left w:type="dxa" w:w="200"/>
              <w:bottom w:type="dxa" w:w="210"/>
              <w:right w:type="dxa" w:w="200"/>
            </w:tcMar>
          </w:tcPr>
          <w:p>
            <w:pPr>
              <w:spacing w:after="60" w:line="250"/>
            </w:pPr>
            <w:r>
              <w:rPr>
                <w:rFonts w:ascii="Cambria" w:cs="Cambria" w:eastAsia="Cambria" w:hAnsi="Cambria"/>
                <w:color w:val="071E41"/>
                <w:sz w:val="30"/>
                <w:szCs w:val="30"/>
              </w:rPr>
              <w:t xml:space="preserve">1</w:t>
            </w:r>
          </w:p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18"/>
                <w:sz w:val="13"/>
                <w:szCs w:val="13"/>
              </w:rPr>
              <w:t xml:space="preserve">LEAD CUSTOMER</w:t>
            </w:r>
          </w:p>
        </w:tc>
        <w:tc>
          <w:tcPr>
            <w:tcW w:type="dxa" w:w="252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210"/>
              <w:left w:type="dxa" w:w="200"/>
              <w:bottom w:type="dxa" w:w="210"/>
              <w:right w:type="dxa" w:w="200"/>
            </w:tcMar>
          </w:tcPr>
          <w:p>
            <w:pPr>
              <w:spacing w:after="60" w:line="250"/>
            </w:pPr>
            <w:r>
              <w:rPr>
                <w:rFonts w:ascii="Cambria" w:cs="Cambria" w:eastAsia="Cambria" w:hAnsi="Cambria"/>
                <w:color w:val="071E41"/>
                <w:sz w:val="30"/>
                <w:szCs w:val="30"/>
              </w:rPr>
              <w:t xml:space="preserve">1</w:t>
            </w:r>
          </w:p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18"/>
                <w:sz w:val="13"/>
                <w:szCs w:val="13"/>
              </w:rPr>
              <w:t xml:space="preserve">LEAD WORKFLOW</w:t>
            </w:r>
          </w:p>
        </w:tc>
        <w:tc>
          <w:tcPr>
            <w:tcW w:type="dxa" w:w="252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210"/>
              <w:left w:type="dxa" w:w="200"/>
              <w:bottom w:type="dxa" w:w="210"/>
              <w:right w:type="dxa" w:w="200"/>
            </w:tcMar>
          </w:tcPr>
          <w:p>
            <w:pPr>
              <w:spacing w:after="60" w:line="250"/>
            </w:pPr>
            <w:r>
              <w:rPr>
                <w:rFonts w:ascii="Cambria" w:cs="Cambria" w:eastAsia="Cambria" w:hAnsi="Cambria"/>
                <w:color w:val="071E41"/>
                <w:sz w:val="30"/>
                <w:szCs w:val="30"/>
              </w:rPr>
              <w:t xml:space="preserve">90</w:t>
            </w:r>
          </w:p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18"/>
                <w:sz w:val="13"/>
                <w:szCs w:val="13"/>
              </w:rPr>
              <w:t xml:space="preserve">DAY VALIDATION WINDOW</w:t>
            </w:r>
          </w:p>
        </w:tc>
        <w:tc>
          <w:tcPr>
            <w:tcW w:type="dxa" w:w="252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210"/>
              <w:left w:type="dxa" w:w="200"/>
              <w:bottom w:type="dxa" w:w="210"/>
              <w:right w:type="dxa" w:w="200"/>
            </w:tcMar>
          </w:tcPr>
          <w:p>
            <w:pPr>
              <w:spacing w:after="60" w:line="250"/>
            </w:pPr>
            <w:r>
              <w:rPr>
                <w:rFonts w:ascii="Cambria" w:cs="Cambria" w:eastAsia="Cambria" w:hAnsi="Cambria"/>
                <w:color w:val="071E41"/>
                <w:sz w:val="30"/>
                <w:szCs w:val="30"/>
              </w:rPr>
              <w:t xml:space="preserve">7</w:t>
            </w:r>
          </w:p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18"/>
                <w:sz w:val="13"/>
                <w:szCs w:val="13"/>
              </w:rPr>
              <w:t xml:space="preserve">DAY COMMITMENT LIST</w:t>
            </w:r>
          </w:p>
        </w:tc>
      </w:tr>
    </w:tbl>
    <w:p>
      <w:pPr>
        <w:spacing w:after="2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8E6FF" w:sz="2"/>
              <w:left w:val="single" w:color="D8E6FF" w:sz="2"/>
              <w:bottom w:val="single" w:color="D8E6FF" w:sz="2"/>
              <w:right w:val="single" w:color="D8E6FF" w:sz="2"/>
            </w:tcBorders>
            <w:shd w:fill="EFF5FF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C89B2C"/>
                <w:spacing w:val="24"/>
                <w:sz w:val="14"/>
                <w:szCs w:val="14"/>
              </w:rPr>
              <w:t xml:space="preserve">BY THE CLOSE OF THIS SESSION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0B2D57"/>
                <w:sz w:val="19"/>
                <w:szCs w:val="19"/>
              </w:rPr>
              <w:t xml:space="preserve">Decide whether Class of 1997 becomes the first service-led pilot, define the first complete prototype workflow, confirm the Oklahoma consent test and the payment and data guardrails, and assign Eric, Isaiah and Dana’s next seven days.</w:t>
            </w:r>
          </w:p>
        </w:tc>
      </w:tr>
    </w:tbl>
    <w:p>
      <w:pPr>
        <w:pStyle w:val="Heading2"/>
        <w:keepNext/>
        <w:keepLines/>
        <w:pageBreakBefore/>
        <w:spacing w:after="130" w:before="0"/>
      </w:pPr>
      <w:r>
        <w:rPr>
          <w:rFonts w:ascii="Cambria" w:cs="Cambria" w:eastAsia="Cambria" w:hAnsi="Cambria"/>
          <w:color w:val="0B2D57"/>
          <w:sz w:val="25"/>
          <w:szCs w:val="25"/>
        </w:rPr>
        <w:t xml:space="preserve">Timed agenda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8"/>
        <w:gridCol w:w="2268"/>
        <w:gridCol w:w="4200"/>
        <w:gridCol w:w="2184"/>
      </w:tblGrid>
      <w:tr>
        <w:trPr>
          <w:tblHeader/>
        </w:trPr>
        <w:tc>
          <w:tcPr>
            <w:tcW w:type="dxa" w:w="1428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TIME (ET)</w:t>
            </w:r>
          </w:p>
        </w:tc>
        <w:tc>
          <w:tcPr>
            <w:tcW w:type="dxa" w:w="2268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CONVERSATION</w:t>
            </w:r>
          </w:p>
        </w:tc>
        <w:tc>
          <w:tcPr>
            <w:tcW w:type="dxa" w:w="4200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FACILITATOR PROMPT</w:t>
            </w:r>
          </w:p>
        </w:tc>
        <w:tc>
          <w:tcPr>
            <w:tcW w:type="dxa" w:w="2184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REQUIRED OUTPUT</w:t>
            </w:r>
          </w:p>
        </w:tc>
      </w:tr>
      <w:tr>
        <w:tc>
          <w:tcPr>
            <w:tcW w:type="dxa" w:w="1428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1:30 – 1:40</w:t>
            </w:r>
          </w:p>
        </w:tc>
        <w:tc>
          <w:tcPr>
            <w:tcW w:type="dxa" w:w="2268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Opening and team roles</w:t>
            </w:r>
          </w:p>
        </w:tc>
        <w:tc>
          <w:tcPr>
            <w:tcW w:type="dxa" w:w="420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What decisions do Eric, Isaiah and Dana own? What is Serena observing?</w:t>
            </w:r>
          </w:p>
        </w:tc>
        <w:tc>
          <w:tcPr>
            <w:tcW w:type="dxa" w:w="2184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Decision list and roles</w:t>
            </w:r>
          </w:p>
        </w:tc>
      </w:tr>
      <w:tr>
        <w:tc>
          <w:tcPr>
            <w:tcW w:type="dxa" w:w="1428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1:40 – 2:00</w:t>
            </w:r>
          </w:p>
        </w:tc>
        <w:tc>
          <w:tcPr>
            <w:tcW w:type="dxa" w:w="2268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New evidence and origin cases</w:t>
            </w:r>
          </w:p>
        </w:tc>
        <w:tc>
          <w:tcPr>
            <w:tcW w:type="dxa" w:w="420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Where do consent, working capital and coordination break down?</w:t>
            </w:r>
          </w:p>
        </w:tc>
        <w:tc>
          <w:tcPr>
            <w:tcW w:type="dxa" w:w="2184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Core pain and pilot criteria</w:t>
            </w:r>
          </w:p>
        </w:tc>
      </w:tr>
      <w:tr>
        <w:tc>
          <w:tcPr>
            <w:tcW w:type="dxa" w:w="1428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2:00 – 2:20</w:t>
            </w:r>
          </w:p>
        </w:tc>
        <w:tc>
          <w:tcPr>
            <w:tcW w:type="dxa" w:w="2268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Prototype walkthrough</w:t>
            </w:r>
          </w:p>
        </w:tc>
        <w:tc>
          <w:tcPr>
            <w:tcW w:type="dxa" w:w="420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What works, what partly works, and what does not work?</w:t>
            </w:r>
          </w:p>
        </w:tc>
        <w:tc>
          <w:tcPr>
            <w:tcW w:type="dxa" w:w="2184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Stabilize-versus-rebuild inputs</w:t>
            </w:r>
          </w:p>
        </w:tc>
      </w:tr>
      <w:tr>
        <w:tc>
          <w:tcPr>
            <w:tcW w:type="dxa" w:w="1428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2:20 – 2:45</w:t>
            </w:r>
          </w:p>
        </w:tc>
        <w:tc>
          <w:tcPr>
            <w:tcW w:type="dxa" w:w="2268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Market entry choice</w:t>
            </w:r>
          </w:p>
        </w:tc>
        <w:tc>
          <w:tcPr>
            <w:tcW w:type="dxa" w:w="420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Which use case is closest to pain, proof and payment?</w:t>
            </w:r>
          </w:p>
        </w:tc>
        <w:tc>
          <w:tcPr>
            <w:tcW w:type="dxa" w:w="2184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Lead wedge</w:t>
            </w:r>
          </w:p>
        </w:tc>
      </w:tr>
      <w:tr>
        <w:tc>
          <w:tcPr>
            <w:tcW w:type="dxa" w:w="1428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2:45 – 3:10</w:t>
            </w:r>
          </w:p>
        </w:tc>
        <w:tc>
          <w:tcPr>
            <w:tcW w:type="dxa" w:w="2268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MVP and guardrails</w:t>
            </w:r>
          </w:p>
        </w:tc>
        <w:tc>
          <w:tcPr>
            <w:tcW w:type="dxa" w:w="420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What must the product do — and what must it never imply?</w:t>
            </w:r>
          </w:p>
        </w:tc>
        <w:tc>
          <w:tcPr>
            <w:tcW w:type="dxa" w:w="2184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MVP, exclusions and boundaries</w:t>
            </w:r>
          </w:p>
        </w:tc>
      </w:tr>
      <w:tr>
        <w:tc>
          <w:tcPr>
            <w:tcW w:type="dxa" w:w="1428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3:10 – 3:25</w:t>
            </w:r>
          </w:p>
        </w:tc>
        <w:tc>
          <w:tcPr>
            <w:tcW w:type="dxa" w:w="2268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90-day validation</w:t>
            </w:r>
          </w:p>
        </w:tc>
        <w:tc>
          <w:tcPr>
            <w:tcW w:type="dxa" w:w="420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What evidence must the Class of 1997 pilot and the Oklahoma consent test produce?</w:t>
            </w:r>
          </w:p>
        </w:tc>
        <w:tc>
          <w:tcPr>
            <w:tcW w:type="dxa" w:w="2184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Research and pilot plan</w:t>
            </w:r>
          </w:p>
        </w:tc>
      </w:tr>
      <w:tr>
        <w:tc>
          <w:tcPr>
            <w:tcW w:type="dxa" w:w="1428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3:25 – 3:30</w:t>
            </w:r>
          </w:p>
        </w:tc>
        <w:tc>
          <w:tcPr>
            <w:tcW w:type="dxa" w:w="2268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Commitments</w:t>
            </w:r>
          </w:p>
        </w:tc>
        <w:tc>
          <w:tcPr>
            <w:tcW w:type="dxa" w:w="420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Who owns what, by when?</w:t>
            </w:r>
          </w:p>
        </w:tc>
        <w:tc>
          <w:tcPr>
            <w:tcW w:type="dxa" w:w="2184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Seven-day action list</w:t>
            </w:r>
          </w:p>
        </w:tc>
      </w:tr>
    </w:tbl>
    <w:p>
      <w:pPr>
        <w:pStyle w:val="Heading2"/>
        <w:keepNext/>
        <w:keepLines/>
        <w:spacing w:after="130" w:before="420"/>
      </w:pPr>
      <w:r>
        <w:rPr>
          <w:rFonts w:ascii="Cambria" w:cs="Cambria" w:eastAsia="Cambria" w:hAnsi="Cambria"/>
          <w:color w:val="0B2D57"/>
          <w:sz w:val="25"/>
          <w:szCs w:val="25"/>
        </w:rPr>
        <w:t xml:space="preserve">Guardrails that hold all session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OWNERSHIP</w:t>
            </w:r>
          </w:p>
        </w:tc>
        <w:tc>
          <w:tcPr>
            <w:tcW w:type="dxa" w:w="2520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PAYMENTS</w:t>
            </w:r>
          </w:p>
        </w:tc>
        <w:tc>
          <w:tcPr>
            <w:tcW w:type="dxa" w:w="2520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DATA</w:t>
            </w:r>
          </w:p>
        </w:tc>
        <w:tc>
          <w:tcPr>
            <w:tcW w:type="dxa" w:w="2520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PARTNERS AND CAPITAL</w:t>
            </w:r>
          </w:p>
        </w:tc>
      </w:tr>
      <w:tr>
        <w:tc>
          <w:tcPr>
            <w:tcW w:type="dxa" w:w="252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Family-supplied project allocations are not automatically verified legal title.</w:t>
            </w:r>
          </w:p>
        </w:tc>
        <w:tc>
          <w:tcPr>
            <w:tcW w:type="dxa" w:w="252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Use qualified payment infrastructure. Do not assume Ascend should hold pooled funds.</w:t>
            </w:r>
          </w:p>
        </w:tc>
        <w:tc>
          <w:tcPr>
            <w:tcW w:type="dxa" w:w="252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Collect only what is needed. Define access, consent, retention, deletion and prohibited uses.</w:t>
            </w:r>
          </w:p>
        </w:tc>
        <w:tc>
          <w:tcPr>
            <w:tcW w:type="dxa" w:w="2520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Use permission-based introductions. Do not sell family financial data or promise outcomes.</w:t>
            </w:r>
          </w:p>
        </w:tc>
      </w:tr>
    </w:tbl>
    <w:p>
      <w:pPr>
        <w:spacing w:after="2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8E6FF" w:sz="2"/>
              <w:left w:val="single" w:color="D8E6FF" w:sz="2"/>
              <w:bottom w:val="single" w:color="D8E6FF" w:sz="2"/>
              <w:right w:val="single" w:color="D8E6FF" w:sz="2"/>
            </w:tcBorders>
            <w:shd w:fill="EFF5FF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C89B2C"/>
                <w:spacing w:val="24"/>
                <w:sz w:val="14"/>
                <w:szCs w:val="14"/>
              </w:rPr>
              <w:t xml:space="preserve">PARKING LOT RULE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0B2D57"/>
                <w:sz w:val="19"/>
                <w:szCs w:val="19"/>
              </w:rPr>
              <w:t xml:space="preserve">A valuable idea does not have to enter the MVP. Capture it, name the evidence it would require, and assign a future review date.</w:t>
            </w:r>
          </w:p>
        </w:tc>
      </w:tr>
    </w:tbl>
    <w:p>
      <w:pPr>
        <w:keepNext/>
        <w:keepLines/>
        <w:pageBreakBefore/>
        <w:spacing w:after="90" w:before="0"/>
      </w:pPr>
      <w:r>
        <w:rPr>
          <w:rFonts w:ascii="Arial" w:cs="Arial" w:eastAsia="Arial" w:hAnsi="Arial"/>
          <w:b/>
          <w:bCs/>
          <w:color w:val="C89B2C"/>
          <w:spacing w:val="26"/>
          <w:sz w:val="15"/>
          <w:szCs w:val="15"/>
        </w:rPr>
        <w:t xml:space="preserve">DECISION BOARD</w:t>
      </w:r>
    </w:p>
    <w:p>
      <w:pPr>
        <w:pStyle w:val="Heading1"/>
        <w:keepNext/>
        <w:keepLines/>
        <w:spacing w:after="150" w:before="40"/>
      </w:pPr>
      <w:r>
        <w:rPr>
          <w:rFonts w:ascii="Cambria" w:cs="Cambria" w:eastAsia="Cambria" w:hAnsi="Cambria"/>
          <w:color w:val="071E41"/>
          <w:sz w:val="40"/>
          <w:szCs w:val="40"/>
        </w:rPr>
        <w:t xml:space="preserve">Six Decisions We Need to Make Today</w:t>
      </w:r>
    </w:p>
    <w:p>
      <w:pPr>
        <w:spacing w:after="200" w:line="3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Work down the board in order. A decision is made when it has a named answer, an owner and a review date — not when the room agrees it is important.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2"/>
        <w:gridCol w:w="1647"/>
        <w:gridCol w:w="2965"/>
        <w:gridCol w:w="3047"/>
        <w:gridCol w:w="1729"/>
      </w:tblGrid>
      <w:tr>
        <w:trPr>
          <w:tblHeader/>
        </w:trPr>
        <w:tc>
          <w:tcPr>
            <w:tcW w:type="dxa" w:w="692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#</w:t>
            </w:r>
          </w:p>
        </w:tc>
        <w:tc>
          <w:tcPr>
            <w:tcW w:type="dxa" w:w="1647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DECISION</w:t>
            </w:r>
          </w:p>
        </w:tc>
        <w:tc>
          <w:tcPr>
            <w:tcW w:type="dxa" w:w="2965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OPTIONS TO CONSIDER</w:t>
            </w:r>
          </w:p>
        </w:tc>
        <w:tc>
          <w:tcPr>
            <w:tcW w:type="dxa" w:w="3047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THE QUESTION THAT RESOLVES IT</w:t>
            </w:r>
          </w:p>
        </w:tc>
        <w:tc>
          <w:tcPr>
            <w:tcW w:type="dxa" w:w="1729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DECIDED</w:t>
            </w:r>
          </w:p>
        </w:tc>
      </w:tr>
      <w:tr>
        <w:tc>
          <w:tcPr>
            <w:tcW w:type="dxa" w:w="692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01</w:t>
            </w:r>
          </w:p>
        </w:tc>
        <w:tc>
          <w:tcPr>
            <w:tcW w:type="dxa" w:w="1647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Lead customer</w:t>
            </w:r>
          </w:p>
        </w:tc>
        <w:tc>
          <w:tcPr>
            <w:tcW w:type="dxa" w:w="2965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Family project organizer · Reunion committee · Other affinity group</w:t>
            </w:r>
          </w:p>
        </w:tc>
        <w:tc>
          <w:tcPr>
            <w:tcW w:type="dxa" w:w="3047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Who has urgent pain, access and willingness to pay?</w:t>
            </w:r>
          </w:p>
        </w:tc>
        <w:tc>
          <w:tcPr>
            <w:tcW w:type="dxa" w:w="172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2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02</w:t>
            </w:r>
          </w:p>
        </w:tc>
        <w:tc>
          <w:tcPr>
            <w:tcW w:type="dxa" w:w="1647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Lead workflow</w:t>
            </w:r>
          </w:p>
        </w:tc>
        <w:tc>
          <w:tcPr>
            <w:tcW w:type="dxa" w:w="2965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Contributions · Budget visibility · Tasks and approvals · Vendor coordination</w:t>
            </w:r>
          </w:p>
        </w:tc>
        <w:tc>
          <w:tcPr>
            <w:tcW w:type="dxa" w:w="3047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Which workflow saves the most organizer time and improves trust?</w:t>
            </w:r>
          </w:p>
        </w:tc>
        <w:tc>
          <w:tcPr>
            <w:tcW w:type="dxa" w:w="172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2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03</w:t>
            </w:r>
          </w:p>
        </w:tc>
        <w:tc>
          <w:tcPr>
            <w:tcW w:type="dxa" w:w="1647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First proving ground</w:t>
            </w:r>
          </w:p>
        </w:tc>
        <w:tc>
          <w:tcPr>
            <w:tcW w:type="dxa" w:w="2965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Class of 1997 paid service pilot · Oklahoma consent and requirements case · Sequenced test</w:t>
            </w:r>
          </w:p>
        </w:tc>
        <w:tc>
          <w:tcPr>
            <w:tcW w:type="dxa" w:w="3047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Which test produces credible evidence without assuming family agreement?</w:t>
            </w:r>
          </w:p>
        </w:tc>
        <w:tc>
          <w:tcPr>
            <w:tcW w:type="dxa" w:w="172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2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04</w:t>
            </w:r>
          </w:p>
        </w:tc>
        <w:tc>
          <w:tcPr>
            <w:tcW w:type="dxa" w:w="1647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MVP boundary</w:t>
            </w:r>
          </w:p>
        </w:tc>
        <w:tc>
          <w:tcPr>
            <w:tcW w:type="dxa" w:w="2965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Service-led · Software-led · Hybrid</w:t>
            </w:r>
          </w:p>
        </w:tc>
        <w:tc>
          <w:tcPr>
            <w:tcW w:type="dxa" w:w="3047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What is the smallest complete experience we can validate?</w:t>
            </w:r>
          </w:p>
        </w:tc>
        <w:tc>
          <w:tcPr>
            <w:tcW w:type="dxa" w:w="172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2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05</w:t>
            </w:r>
          </w:p>
        </w:tc>
        <w:tc>
          <w:tcPr>
            <w:tcW w:type="dxa" w:w="1647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Risk posture</w:t>
            </w:r>
          </w:p>
        </w:tc>
        <w:tc>
          <w:tcPr>
            <w:tcW w:type="dxa" w:w="2965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Ownership display · Payment partner · Data permissions · Partner access</w:t>
            </w:r>
          </w:p>
        </w:tc>
        <w:tc>
          <w:tcPr>
            <w:tcW w:type="dxa" w:w="3047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What will Ascend record, facilitate, exclude and refer out?</w:t>
            </w:r>
          </w:p>
        </w:tc>
        <w:tc>
          <w:tcPr>
            <w:tcW w:type="dxa" w:w="172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2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06</w:t>
            </w:r>
          </w:p>
        </w:tc>
        <w:tc>
          <w:tcPr>
            <w:tcW w:type="dxa" w:w="1647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Team model</w:t>
            </w:r>
          </w:p>
        </w:tc>
        <w:tc>
          <w:tcPr>
            <w:tcW w:type="dxa" w:w="2965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Eric · Isaiah (1+ hr/week) · Dana · Serena (observer) · Developers · Outside professionals</w:t>
            </w:r>
          </w:p>
        </w:tc>
        <w:tc>
          <w:tcPr>
            <w:tcW w:type="dxa" w:w="3047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Who decides, builds, validates and protects each workstream?</w:t>
            </w:r>
          </w:p>
        </w:tc>
        <w:tc>
          <w:tcPr>
            <w:tcW w:type="dxa" w:w="1729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</w:tr>
    </w:tbl>
    <w:p>
      <w:pPr>
        <w:keepNext/>
        <w:keepLines/>
        <w:pageBreakBefore/>
        <w:spacing w:after="90" w:before="0"/>
      </w:pPr>
      <w:r>
        <w:rPr>
          <w:rFonts w:ascii="Arial" w:cs="Arial" w:eastAsia="Arial" w:hAnsi="Arial"/>
          <w:b/>
          <w:bCs/>
          <w:color w:val="C89B2C"/>
          <w:spacing w:val="26"/>
          <w:sz w:val="15"/>
          <w:szCs w:val="15"/>
        </w:rPr>
        <w:t xml:space="preserve">FACILITATOR CLOSE</w:t>
      </w:r>
    </w:p>
    <w:p>
      <w:pPr>
        <w:pStyle w:val="Heading1"/>
        <w:keepNext/>
        <w:keepLines/>
        <w:spacing w:after="150" w:before="40"/>
      </w:pPr>
      <w:r>
        <w:rPr>
          <w:rFonts w:ascii="Cambria" w:cs="Cambria" w:eastAsia="Cambria" w:hAnsi="Cambria"/>
          <w:color w:val="071E41"/>
          <w:sz w:val="40"/>
          <w:szCs w:val="40"/>
        </w:rPr>
        <w:t xml:space="preserve">Commitments, Open Questions and the Next Seven Days</w:t>
      </w:r>
    </w:p>
    <w:p>
      <w:pPr>
        <w:spacing w:after="200" w:line="3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Fill this in live, on screen, before anyone leaves. What is not captured here does not exist.</w:t>
      </w:r>
    </w:p>
    <w:p>
      <w:pPr>
        <w:pStyle w:val="Heading2"/>
        <w:keepNext/>
        <w:keepLines/>
        <w:spacing w:after="130" w:before="200"/>
      </w:pPr>
      <w:r>
        <w:rPr>
          <w:rFonts w:ascii="Cambria" w:cs="Cambria" w:eastAsia="Cambria" w:hAnsi="Cambria"/>
          <w:color w:val="0B2D57"/>
          <w:sz w:val="25"/>
          <w:szCs w:val="25"/>
        </w:rPr>
        <w:t xml:space="preserve">Decision recap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1848"/>
        <w:gridCol w:w="1848"/>
        <w:gridCol w:w="2856"/>
      </w:tblGrid>
      <w:tr>
        <w:trPr>
          <w:tblHeader/>
        </w:trPr>
        <w:tc>
          <w:tcPr>
            <w:tcW w:type="dxa" w:w="3528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DECISION MADE</w:t>
            </w:r>
          </w:p>
        </w:tc>
        <w:tc>
          <w:tcPr>
            <w:tcW w:type="dxa" w:w="1848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OWNER</w:t>
            </w:r>
          </w:p>
        </w:tc>
        <w:tc>
          <w:tcPr>
            <w:tcW w:type="dxa" w:w="1848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REVIEW DATE</w:t>
            </w:r>
          </w:p>
        </w:tc>
        <w:tc>
          <w:tcPr>
            <w:tcW w:type="dxa" w:w="2856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EVIDENCE REQUIRED</w:t>
            </w:r>
          </w:p>
        </w:tc>
      </w:tr>
      <w:tr>
        <w:trPr>
          <w:trHeight w:val="500" w:hRule="atLeast"/>
        </w:trPr>
        <w:tc>
          <w:tcPr>
            <w:tcW w:type="dxa" w:w="3528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Lead customer, use case and proving ground</w:t>
            </w:r>
          </w:p>
        </w:tc>
        <w:tc>
          <w:tcPr>
            <w:tcW w:type="dxa" w:w="1848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1848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2856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528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MVP boundary, plus ownership, payment and data posture</w:t>
            </w:r>
          </w:p>
        </w:tc>
        <w:tc>
          <w:tcPr>
            <w:tcW w:type="dxa" w:w="1848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1848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2856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528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Homecoming validation and team plan</w:t>
            </w:r>
          </w:p>
        </w:tc>
        <w:tc>
          <w:tcPr>
            <w:tcW w:type="dxa" w:w="1848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1848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2856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keepLines/>
        <w:spacing w:after="130" w:before="280"/>
      </w:pPr>
      <w:r>
        <w:rPr>
          <w:rFonts w:ascii="Cambria" w:cs="Cambria" w:eastAsia="Cambria" w:hAnsi="Cambria"/>
          <w:color w:val="0B2D57"/>
          <w:sz w:val="25"/>
          <w:szCs w:val="25"/>
        </w:rPr>
        <w:t xml:space="preserve">Next seven days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96"/>
        <w:gridCol w:w="2092"/>
        <w:gridCol w:w="2092"/>
      </w:tblGrid>
      <w:tr>
        <w:trPr>
          <w:tblHeader/>
        </w:trPr>
        <w:tc>
          <w:tcPr>
            <w:tcW w:type="dxa" w:w="5896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ACTION</w:t>
            </w:r>
          </w:p>
        </w:tc>
        <w:tc>
          <w:tcPr>
            <w:tcW w:type="dxa" w:w="2092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SUGGESTED OWNER</w:t>
            </w:r>
          </w:p>
        </w:tc>
        <w:tc>
          <w:tcPr>
            <w:tcW w:type="dxa" w:w="2092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COMPLETE BY</w:t>
            </w:r>
          </w:p>
        </w:tc>
      </w:tr>
      <w:tr>
        <w:trPr>
          <w:trHeight w:val="420" w:hRule="atLeast"/>
        </w:trPr>
        <w:tc>
          <w:tcPr>
            <w:tcW w:type="dxa" w:w="5896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Provide prototype access, Class of 1997 order assumptions and Oklahoma project inputs.</w:t>
            </w:r>
          </w:p>
        </w:tc>
        <w:tc>
          <w:tcPr>
            <w:tcW w:type="dxa" w:w="2092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Eric</w:t>
            </w:r>
          </w:p>
        </w:tc>
        <w:tc>
          <w:tcPr>
            <w:tcW w:type="dxa" w:w="2092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5896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Document the current technical build, the stabilize-versus-rebuild view and a one-hour weekly work plan.</w:t>
            </w:r>
          </w:p>
        </w:tc>
        <w:tc>
          <w:tcPr>
            <w:tcW w:type="dxa" w:w="2092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Isaiah</w:t>
            </w:r>
          </w:p>
        </w:tc>
        <w:tc>
          <w:tcPr>
            <w:tcW w:type="dxa" w:w="2092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5896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Issue the decision summary, interview guide, evidence tracker and information request.</w:t>
            </w:r>
          </w:p>
        </w:tc>
        <w:tc>
          <w:tcPr>
            <w:tcW w:type="dxa" w:w="2092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Dana</w:t>
            </w:r>
          </w:p>
        </w:tc>
        <w:tc>
          <w:tcPr>
            <w:tcW w:type="dxa" w:w="2092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5896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Schedule Class of 1997 discovery and identify five interview candidates.</w:t>
            </w:r>
          </w:p>
        </w:tc>
        <w:tc>
          <w:tcPr>
            <w:tcW w:type="dxa" w:w="2092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Eric + Dana</w:t>
            </w:r>
          </w:p>
        </w:tc>
        <w:tc>
          <w:tcPr>
            <w:tcW w:type="dxa" w:w="2092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5896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>Confirm the weekly working cadence and the shared source of truth.</w:t>
            </w:r>
          </w:p>
        </w:tc>
        <w:tc>
          <w:tcPr>
            <w:tcW w:type="dxa" w:w="2092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FFFFF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Full team</w:t>
            </w:r>
          </w:p>
        </w:tc>
        <w:tc>
          <w:tcPr>
            <w:tcW w:type="dxa" w:w="2092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keepLines/>
        <w:spacing w:after="130" w:before="280"/>
      </w:pPr>
      <w:r>
        <w:rPr>
          <w:rFonts w:ascii="Cambria" w:cs="Cambria" w:eastAsia="Cambria" w:hAnsi="Cambria"/>
          <w:color w:val="0B2D57"/>
          <w:sz w:val="25"/>
          <w:szCs w:val="25"/>
        </w:rPr>
        <w:t xml:space="preserve">Parking 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5"/>
        <w:gridCol w:w="3804"/>
        <w:gridCol w:w="1711"/>
      </w:tblGrid>
      <w:tr>
        <w:trPr>
          <w:tblHeader/>
        </w:trPr>
        <w:tc>
          <w:tcPr>
            <w:tcW w:type="dxa" w:w="4565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IDEA OR QUESTION RAISED</w:t>
            </w:r>
          </w:p>
        </w:tc>
        <w:tc>
          <w:tcPr>
            <w:tcW w:type="dxa" w:w="3804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EVIDENCE IT WOULD NEED</w:t>
            </w:r>
          </w:p>
        </w:tc>
        <w:tc>
          <w:tcPr>
            <w:tcW w:type="dxa" w:w="1711"/>
            <w:tcBorders>
              <w:top w:val="single" w:color="071E41" w:sz="2"/>
              <w:left w:val="single" w:color="071E41" w:sz="2"/>
              <w:bottom w:val="single" w:color="071E41" w:sz="2"/>
              <w:right w:val="single" w:color="071E41" w:sz="2"/>
            </w:tcBorders>
            <w:shd w:fill="071E41" w:color="auto" w:val="clear"/>
            <w:tcMar>
              <w:top w:type="dxa" w:w="112"/>
              <w:left w:type="dxa" w:w="150"/>
              <w:bottom w:type="dxa" w:w="112"/>
              <w:right w:type="dxa" w:w="15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8"/>
                <w:sz w:val="14"/>
                <w:szCs w:val="14"/>
              </w:rPr>
              <w:t xml:space="preserve">REVIEW DATE</w:t>
            </w:r>
          </w:p>
        </w:tc>
      </w:tr>
      <w:tr>
        <w:trPr>
          <w:trHeight w:val="540" w:hRule="atLeast"/>
        </w:trPr>
        <w:tc>
          <w:tcPr>
            <w:tcW w:type="dxa" w:w="4565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/>
            </w:r>
          </w:p>
        </w:tc>
        <w:tc>
          <w:tcPr>
            <w:tcW w:type="dxa" w:w="3804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1711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4565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/>
            </w:r>
          </w:p>
        </w:tc>
        <w:tc>
          <w:tcPr>
            <w:tcW w:type="dxa" w:w="3804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1711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4565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071E41"/>
                <w:sz w:val="18"/>
                <w:szCs w:val="18"/>
              </w:rPr>
              <w:t xml:space="preserve"/>
            </w:r>
          </w:p>
        </w:tc>
        <w:tc>
          <w:tcPr>
            <w:tcW w:type="dxa" w:w="3804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  <w:tc>
          <w:tcPr>
            <w:tcW w:type="dxa" w:w="1711"/>
            <w:tcBorders>
              <w:top w:val="single" w:color="E5EAF2" w:sz="2"/>
              <w:left w:val="single" w:color="E5EAF2" w:sz="2"/>
              <w:bottom w:val="single" w:color="E5EAF2" w:sz="2"/>
              <w:right w:val="single" w:color="E5EAF2" w:sz="2"/>
            </w:tcBorders>
            <w:shd w:fill="F5F8FC" w:color="auto" w:val="clear"/>
            <w:tcMar>
              <w:top w:type="dxa" w:w="112"/>
              <w:left w:type="dxa" w:w="150"/>
              <w:bottom w:type="dxa" w:w="112"/>
              <w:right w:type="dxa" w:w="150"/>
            </w:tcMar>
            <w:vAlign w:val="top"/>
          </w:tcPr>
          <w:p>
            <w:pPr>
              <w:spacing w:after="0" w:line="265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/>
            </w:r>
          </w:p>
        </w:tc>
      </w:tr>
    </w:tbl>
    <w:p>
      <w:pPr>
        <w:spacing w:after="17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8E6FF" w:sz="2"/>
              <w:left w:val="single" w:color="D8E6FF" w:sz="2"/>
              <w:bottom w:val="single" w:color="D8E6FF" w:sz="2"/>
              <w:right w:val="single" w:color="D8E6FF" w:sz="2"/>
            </w:tcBorders>
            <w:shd w:fill="EFF5FF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C89B2C"/>
                <w:spacing w:val="24"/>
                <w:sz w:val="14"/>
                <w:szCs w:val="14"/>
              </w:rPr>
              <w:t xml:space="preserve">CLOSE QUESTION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2D57"/>
                <w:sz w:val="19"/>
                <w:szCs w:val="19"/>
              </w:rPr>
              <w:t xml:space="preserve">What will we deliberately not build, not promise and not pursue during the next 90 days?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080" w:right="1080" w:bottom="1000" w:left="1080" w:header="560" w:footer="48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AF2" w:sz="4"/>
      </w:pBdr>
      <w:tabs>
        <w:tab w:val="right" w:pos="10080"/>
      </w:tabs>
      <w:spacing w:after="0" w:before="60"/>
    </w:pPr>
    <w:r>
      <w:rPr>
        <w:rFonts w:ascii="Arial" w:cs="Arial" w:eastAsia="Arial" w:hAnsi="Arial"/>
        <w:color w:val="6B7280"/>
        <w:sz w:val="13"/>
        <w:szCs w:val="13"/>
      </w:rPr>
      <w:t xml:space="preserve">Facilitated by Dana Ammons · Value Growth Partners</w:t>
    </w:r>
    <w:r>
      <w:rPr>
        <w:rFonts w:ascii="Arial" w:cs="Arial" w:eastAsia="Arial" w:hAnsi="Arial"/>
        <w:sz w:val="13"/>
        <w:szCs w:val="13"/>
      </w:rPr>
      <w:t xml:space="preserve">	</w:t>
    </w:r>
    <w:r>
      <w:rPr>
        <w:rFonts w:ascii="Arial" w:cs="Arial" w:eastAsia="Arial" w:hAnsi="Arial"/>
        <w:b/>
        <w:bCs/>
        <w:color w:val="071E41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3"/>
        <w:szCs w:val="13"/>
      </w:rPr>
      <w:t xml:space="preserve"> / </w:t>
    </w:r>
    <w:r>
      <w:rPr>
        <w:rFonts w:ascii="Arial" w:cs="Arial" w:eastAsia="Arial" w:hAnsi="Arial"/>
        <w:color w:val="6B7280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AF2" w:sz="4"/>
      </w:pBdr>
      <w:tabs>
        <w:tab w:val="right" w:pos="10080"/>
      </w:tabs>
      <w:spacing w:after="0" w:before="60"/>
    </w:pPr>
    <w:r>
      <w:rPr>
        <w:rFonts w:ascii="Arial" w:cs="Arial" w:eastAsia="Arial" w:hAnsi="Arial"/>
        <w:color w:val="6B7280"/>
        <w:sz w:val="13"/>
        <w:szCs w:val="13"/>
      </w:rPr>
      <w:t xml:space="preserve">Facilitated by Dana Ammons · Value Growth Partners</w:t>
    </w:r>
    <w:r>
      <w:rPr>
        <w:rFonts w:ascii="Arial" w:cs="Arial" w:eastAsia="Arial" w:hAnsi="Arial"/>
        <w:sz w:val="13"/>
        <w:szCs w:val="13"/>
      </w:rPr>
      <w:t xml:space="preserve">	</w:t>
    </w:r>
    <w:r>
      <w:rPr>
        <w:rFonts w:ascii="Arial" w:cs="Arial" w:eastAsia="Arial" w:hAnsi="Arial"/>
        <w:b/>
        <w:bCs/>
        <w:color w:val="071E41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3"/>
        <w:szCs w:val="13"/>
      </w:rPr>
      <w:t xml:space="preserve"> / </w:t>
    </w:r>
    <w:r>
      <w:rPr>
        <w:rFonts w:ascii="Arial" w:cs="Arial" w:eastAsia="Arial" w:hAnsi="Arial"/>
        <w:color w:val="6B7280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AF2" w:sz="4"/>
      </w:pBdr>
      <w:tabs>
        <w:tab w:val="right" w:pos="10080"/>
      </w:tabs>
      <w:spacing w:after="0"/>
    </w:pPr>
    <w:r>
      <w:rPr>
        <w:rFonts w:ascii="Arial" w:cs="Arial" w:eastAsia="Arial" w:hAnsi="Arial"/>
        <w:b/>
        <w:bCs/>
        <w:color w:val="6B7280"/>
        <w:spacing w:val="18"/>
        <w:sz w:val="13"/>
        <w:szCs w:val="13"/>
      </w:rPr>
      <w:t xml:space="preserve">ASCEND FAMILY VAULT — WORKING SESSION AGENDA</w:t>
    </w:r>
    <w:r>
      <w:rPr>
        <w:rFonts w:ascii="Arial" w:cs="Arial" w:eastAsia="Arial" w:hAnsi="Arial"/>
        <w:b/>
        <w:bCs/>
        <w:color w:val="6B7280"/>
        <w:spacing w:val="18"/>
        <w:sz w:val="13"/>
        <w:szCs w:val="13"/>
      </w:rPr>
      <w:t xml:space="preserve">	AUGUST 27,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40" w:hanging="340"/>
      </w:pPr>
      <w:rPr>
        <w:rFonts w:ascii="Arial" w:cs="Arial" w:eastAsia="Arial" w:hAnsi="Arial"/>
        <w:color w:val="3978D7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380" w:hanging="380"/>
      </w:pPr>
      <w:rPr>
        <w:rFonts w:ascii="Arial" w:cs="Arial" w:eastAsia="Arial" w:hAnsi="Arial"/>
        <w:b/>
        <w:bCs/>
        <w:color w:val="3978D7"/>
        <w:sz w:val="19"/>
        <w:szCs w:val="19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B5563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40"/>
    </w:pPr>
    <w:rPr>
      <w:rFonts w:ascii="Cambria" w:cs="Cambria" w:eastAsia="Cambria" w:hAnsi="Cambria"/>
      <w:b w:val="false"/>
      <w:bCs w:val="false"/>
      <w:color w:val="071E41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30" w:before="340"/>
    </w:pPr>
    <w:rPr>
      <w:rFonts w:ascii="Cambria" w:cs="Cambria" w:eastAsia="Cambria" w:hAnsi="Cambria"/>
      <w:b w:val="false"/>
      <w:bCs w:val="false"/>
      <w:color w:val="0B2D5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260"/>
    </w:pPr>
    <w:rPr>
      <w:rFonts w:ascii="Arial" w:cs="Arial" w:eastAsia="Arial" w:hAnsi="Arial"/>
      <w:b/>
      <w:bCs/>
      <w:color w:val="0B2D57"/>
      <w:sz w:val="15"/>
      <w:szCs w:val="1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Ascend Family Vault — Working Session Agenda</dc:title>
  <dc:creator>Dana Ammons · Value Growth Partners</dc:creator>
  <dc:description>On-screen working session agenda, decision board and facilitator close.</dc:description>
  <cp:lastModifiedBy>Un-named</cp:lastModifiedBy>
  <cp:revision>1</cp:revision>
  <dcterms:created xsi:type="dcterms:W3CDTF">2026-08-27T17:14:17.103Z</dcterms:created>
  <dcterms:modified xsi:type="dcterms:W3CDTF">2026-08-27T17:14:17.103Z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