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480"/>
        <w:jc w:val="left"/>
      </w:pPr>
      <w:r>
        <w:rPr>
          <w:rFonts w:ascii="Arial" w:hAnsi="Arial" w:eastAsia="Arial"/>
          <w:b/>
          <w:i w:val="0"/>
          <w:color w:val="C89B2C"/>
          <w:sz w:val="22"/>
        </w:rPr>
        <w:t>FOUNDER NETWORK · MEMBER RESOURCE</w:t>
      </w:r>
    </w:p>
    <w:p>
      <w:pPr>
        <w:spacing w:after="200" w:before="0"/>
        <w:jc w:val="left"/>
      </w:pPr>
      <w:r>
        <w:rPr>
          <w:rFonts w:ascii="Georgia" w:hAnsi="Georgia" w:eastAsia="Georgia"/>
          <w:b/>
          <w:i w:val="0"/>
          <w:color w:val="071E41"/>
          <w:sz w:val="60"/>
        </w:rPr>
        <w:t>Manufacturing, Packaging + Fulfillment Operating Partner Directory</w:t>
      </w:r>
    </w:p>
    <w:p>
      <w:pPr>
        <w:spacing w:after="360" w:before="0"/>
        <w:jc w:val="left"/>
      </w:pPr>
      <w:r>
        <w:rPr>
          <w:rFonts w:ascii="Georgia" w:hAnsi="Georgia" w:eastAsia="Georgia"/>
          <w:b w:val="0"/>
          <w:i/>
          <w:color w:val="4B5563"/>
          <w:sz w:val="26"/>
        </w:rPr>
        <w:t>Find vetted categories of manufacturing, packaging, and fulfillment support for your product business.</w:t>
      </w:r>
    </w:p>
    <w:p>
      <w:pPr>
        <w:spacing w:after="400" w:before="0"/>
        <w:jc w:val="left"/>
      </w:pPr>
      <w:r>
        <w:rPr>
          <w:rFonts w:ascii="Arial" w:hAnsi="Arial" w:eastAsia="Arial"/>
          <w:b/>
          <w:i w:val="0"/>
          <w:color w:val="0B2D57"/>
          <w:sz w:val="20"/>
        </w:rPr>
        <w:t>Resource ID: PRT-01    ·    Version 2.2    ·    August 13, 2026</w:t>
      </w:r>
    </w:p>
    <w:p>
      <w:pPr>
        <w:spacing w:after="40" w:before="0"/>
        <w:jc w:val="left"/>
      </w:pPr>
      <w:r>
        <w:rPr>
          <w:rFonts w:ascii="Arial" w:hAnsi="Arial" w:eastAsia="Arial"/>
          <w:b/>
          <w:i w:val="0"/>
          <w:color w:val="3978D7"/>
          <w:sz w:val="18"/>
        </w:rPr>
        <w:t>WHO IT'S FOR</w:t>
      </w:r>
    </w:p>
    <w:p>
      <w:pPr>
        <w:spacing w:after="200" w:before="0"/>
        <w:jc w:val="left"/>
      </w:pPr>
      <w:r>
        <w:rPr>
          <w:rFonts w:ascii="Arial" w:hAnsi="Arial" w:eastAsia="Arial"/>
          <w:b w:val="0"/>
          <w:i w:val="0"/>
          <w:color w:val="4B5563"/>
          <w:sz w:val="22"/>
        </w:rPr>
        <w:t>Product founders sourcing production, packaging, and logistics partners.</w:t>
      </w:r>
    </w:p>
    <w:p>
      <w:pPr>
        <w:spacing w:after="40" w:before="0"/>
        <w:jc w:val="left"/>
      </w:pPr>
      <w:r>
        <w:rPr>
          <w:rFonts w:ascii="Arial" w:hAnsi="Arial" w:eastAsia="Arial"/>
          <w:b/>
          <w:i w:val="0"/>
          <w:color w:val="3978D7"/>
          <w:sz w:val="18"/>
        </w:rPr>
        <w:t>WHEN TO USE IT</w:t>
      </w:r>
    </w:p>
    <w:p>
      <w:pPr>
        <w:spacing w:after="200" w:before="0"/>
        <w:jc w:val="left"/>
      </w:pPr>
      <w:r>
        <w:rPr>
          <w:rFonts w:ascii="Arial" w:hAnsi="Arial" w:eastAsia="Arial"/>
          <w:b w:val="0"/>
          <w:i w:val="0"/>
          <w:color w:val="4B5563"/>
          <w:sz w:val="22"/>
        </w:rPr>
        <w:t>Before committing to a co-manufacturer, packager, or 3PL.</w:t>
      </w:r>
    </w:p>
    <w:p>
      <w:pPr>
        <w:spacing w:after="40" w:before="0"/>
        <w:jc w:val="left"/>
      </w:pPr>
      <w:r>
        <w:rPr>
          <w:rFonts w:ascii="Arial" w:hAnsi="Arial" w:eastAsia="Arial"/>
          <w:b/>
          <w:i w:val="0"/>
          <w:color w:val="3978D7"/>
          <w:sz w:val="18"/>
        </w:rPr>
        <w:t>WHAT IT PRODUCES</w:t>
      </w:r>
    </w:p>
    <w:p>
      <w:pPr>
        <w:spacing w:after="200" w:before="0"/>
        <w:jc w:val="left"/>
      </w:pPr>
      <w:r>
        <w:rPr>
          <w:rFonts w:ascii="Arial" w:hAnsi="Arial" w:eastAsia="Arial"/>
          <w:b w:val="0"/>
          <w:i w:val="0"/>
          <w:color w:val="4B5563"/>
          <w:sz w:val="22"/>
        </w:rPr>
        <w:t>A shortlist of partner categories and candidates to evaluate.</w:t>
      </w:r>
    </w:p>
    <w:p>
      <w:pPr>
        <w:spacing w:after="40" w:before="0"/>
        <w:jc w:val="left"/>
      </w:pPr>
      <w:r>
        <w:rPr>
          <w:rFonts w:ascii="Arial" w:hAnsi="Arial" w:eastAsia="Arial"/>
          <w:b/>
          <w:i w:val="0"/>
          <w:color w:val="3978D7"/>
          <w:sz w:val="18"/>
        </w:rPr>
        <w:t>NEXT STEP INSIDE THE ECOSYSTEM</w:t>
      </w:r>
    </w:p>
    <w:p>
      <w:pPr>
        <w:spacing w:after="320" w:before="0"/>
        <w:jc w:val="left"/>
      </w:pPr>
      <w:r>
        <w:rPr>
          <w:rFonts w:ascii="Arial" w:hAnsi="Arial" w:eastAsia="Arial"/>
          <w:b w:val="0"/>
          <w:i w:val="0"/>
          <w:color w:val="4B5563"/>
          <w:sz w:val="22"/>
        </w:rPr>
        <w:t>Shortlist with the Startup-Friendly Partner Shortlist (PRT-02), then request a VGP introduction when you have your requirements documented. Growth OS can track vendor evaluations as an operating workflow.</w:t>
      </w:r>
    </w:p>
    <w:p>
      <w:pPr>
        <w:spacing w:after="160" w:before="0"/>
        <w:jc w:val="left"/>
      </w:pPr>
      <w:r>
        <w:rPr>
          <w:rFonts w:ascii="Arial" w:hAnsi="Arial" w:eastAsia="Arial"/>
          <w:b w:val="0"/>
          <w:i/>
          <w:color w:val="4B5563"/>
          <w:sz w:val="18"/>
        </w:rPr>
        <w:t>© 2026 Value Growth Partners. Provided to Founder Network members for their own use. Not legal, financial, investment, or tax advice. Do not redistribute, resell, or share outside your organization.</w:t>
      </w:r>
    </w:p>
    <w:p>
      <w:pPr>
        <w:spacing w:after="120" w:before="0"/>
        <w:jc w:val="left"/>
      </w:pPr>
      <w:r>
        <w:rPr>
          <w:rFonts w:ascii="Arial" w:hAnsi="Arial" w:eastAsia="Arial"/>
          <w:b w:val="0"/>
          <w:i/>
          <w:color w:val="4B5563"/>
          <w:sz w:val="18"/>
        </w:rPr>
        <w:t>Partner listings are research-based, drawn from public information. Inclusion is not a preferred-vendor guarantee or an endorsement; evaluate every partner independently before engaging.</w:t>
      </w:r>
    </w:p>
    <w:p>
      <w:pPr>
        <w:spacing w:after="120" w:before="0"/>
        <w:jc w:val="left"/>
      </w:pPr>
      <w:r>
        <w:rPr>
          <w:rFonts w:ascii="Arial" w:hAnsi="Arial" w:eastAsia="Arial"/>
          <w:b w:val="0"/>
          <w:i/>
          <w:color w:val="4B5563"/>
          <w:sz w:val="18"/>
        </w:rPr>
        <w:t>Disclosure: Value Growth Partners may receive a referral fee if you engage certain listed partners.</w:t>
      </w:r>
    </w:p>
    <w:p>
      <w:pPr>
        <w:spacing w:after="0" w:before="280"/>
        <w:jc w:val="left"/>
      </w:pPr>
      <w:r>
        <w:rPr>
          <w:rFonts w:ascii="Arial" w:hAnsi="Arial" w:eastAsia="Arial"/>
          <w:b/>
          <w:i w:val="0"/>
          <w:color w:val="071E41"/>
          <w:sz w:val="20"/>
        </w:rPr>
        <w:t>THE BRAND BLUEPRINT  ·  Powered by Value Growth Partners  ·  Growth OS</w:t>
      </w:r>
    </w:p>
    <w:p>
      <w:pPr>
        <w:spacing w:after="120" w:before="0"/>
        <w:jc w:val="left"/>
      </w:pPr>
      <w:r>
        <w:br w:type="page"/>
      </w:r>
    </w:p>
    <w:p>
      <w:pPr>
        <w:widowControl/>
        <w:spacing w:before="0" w:after="200"/>
      </w:pPr>
    </w:p>
    <w:tbl>
      <w:tblPr>
        <w:tblW w:type="auto" w:w="0"/>
        <w:jc w:val="center"/>
        <w:tblLayout w:type="fixed"/>
        <w:tblLook w:firstColumn="1" w:firstRow="1" w:lastColumn="0" w:lastRow="0" w:noHBand="0" w:noVBand="1" w:val="04A0"/>
      </w:tblPr>
      <w:tblGrid>
        <w:gridCol w:w="10252"/>
      </w:tblGrid>
      <w:tr>
        <w:tc>
          <w:tcPr>
            <w:tcW w:type="dxa" w:w="10252"/>
            <w:shd w:fill="071E41" w:val="clear"/>
            <w:tcMar>
              <w:top w:w="340" w:type="dxa"/>
              <w:start w:w="300" w:type="dxa"/>
              <w:bottom w:w="330" w:type="dxa"/>
              <w:end w:w="300" w:type="dxa"/>
            </w:tcMar>
          </w:tcPr>
          <w:p>
            <w:pPr>
              <w:keepLines/>
              <w:spacing w:before="0" w:after="240"/>
            </w:pPr>
            <w:r/>
            <w:r>
              <w:rPr>
                <w:rFonts w:ascii="Aptos Display" w:hAnsi="Aptos Display"/>
                <w:b/>
                <w:i w:val="0"/>
                <w:color w:val="C89B2C"/>
                <w:sz w:val="27"/>
              </w:rPr>
              <w:t>THE BRAND BLUEPRINT</w:t>
            </w:r>
          </w:p>
          <w:p>
            <w:pPr>
              <w:keepLines/>
              <w:spacing w:before="0" w:after="240"/>
            </w:pPr>
            <w:r>
              <w:rPr>
                <w:rFonts w:ascii="Aptos Display" w:hAnsi="Aptos Display"/>
                <w:b/>
                <w:i w:val="0"/>
                <w:color w:val="FFFFFF"/>
                <w:sz w:val="22"/>
              </w:rPr>
              <w:t>Founder Network Resource Library</w:t>
            </w:r>
          </w:p>
          <w:p>
            <w:pPr>
              <w:keepLines/>
              <w:spacing w:before="0" w:after="280" w:line="228" w:lineRule="auto"/>
            </w:pPr>
            <w:r>
              <w:rPr>
                <w:rFonts w:ascii="Aptos Display" w:hAnsi="Aptos Display"/>
                <w:b/>
                <w:i w:val="0"/>
                <w:color w:val="FFFFFF"/>
                <w:sz w:val="60"/>
              </w:rPr>
              <w:t>Manufacturing,</w:t>
              <w:br/>
              <w:t>Packaging + Fulfillment</w:t>
              <w:br/>
              <w:t>Operating Partner Directory</w:t>
            </w:r>
          </w:p>
          <w:p>
            <w:pPr>
              <w:keepLines/>
              <w:spacing w:before="0" w:after="300" w:line="252" w:lineRule="auto"/>
            </w:pPr>
            <w:r>
              <w:rPr>
                <w:rFonts w:ascii="Aptos" w:hAnsi="Aptos"/>
                <w:b w:val="0"/>
                <w:i w:val="0"/>
                <w:color w:val="DCEBFF"/>
                <w:sz w:val="24"/>
              </w:rPr>
              <w:t>Build the operating system behind your next stage. A stage-mapped sourcing, operations, and partner-selection guide for consumer product founders.</w:t>
            </w:r>
          </w:p>
          <w:p>
            <w:pPr>
              <w:keepLines/>
              <w:spacing w:before="0" w:after="40"/>
            </w:pPr>
            <w:r>
              <w:rPr>
                <w:rFonts w:ascii="Aptos" w:hAnsi="Aptos"/>
                <w:b/>
                <w:i w:val="0"/>
                <w:color w:val="C89B2C"/>
                <w:sz w:val="17"/>
              </w:rPr>
              <w:t>OP-002  |  PRODUCT, PACKAGING + OPERATIONS COLLECTION</w:t>
            </w:r>
          </w:p>
          <w:p>
            <w:pPr>
              <w:keepLines/>
              <w:spacing w:before="0" w:after="0"/>
            </w:pPr>
            <w:r>
              <w:rPr>
                <w:rFonts w:ascii="Aptos" w:hAnsi="Aptos"/>
                <w:b w:val="0"/>
                <w:i w:val="0"/>
                <w:color w:val="FFFFFF"/>
                <w:sz w:val="16"/>
              </w:rPr>
              <w:t>Version 2.1  |  July 1, 2026  |  Founder Network member resource + VGP operating-partner directory</w:t>
            </w:r>
          </w:p>
        </w:tc>
      </w:tr>
    </w:tbl>
    <w:p>
      <w:pPr>
        <w:widowControl/>
        <w:spacing w:before="300" w:after="160"/>
        <w:jc w:val="center"/>
      </w:pPr>
      <w:r>
        <w:rPr>
          <w:rFonts w:ascii="Aptos" w:hAnsi="Aptos"/>
          <w:b w:val="0"/>
          <w:i/>
          <w:color w:val="4B5563"/>
          <w:sz w:val="20"/>
        </w:rPr>
        <w:t>Brand Blueprint is the founder-facing ecosystem. Value Growth Partners is the strategic advisory and operating firm. Growth OS is the implementation layer that turns partner decisions into repeatable systems.</w:t>
      </w:r>
    </w:p>
    <w:tbl>
      <w:tblPr>
        <w:tblW w:type="auto" w:w="0"/>
        <w:jc w:val="center"/>
        <w:tblLayout w:type="fixed"/>
        <w:tblLook w:firstColumn="1" w:firstRow="1" w:lastColumn="0" w:lastRow="0" w:noHBand="0" w:noVBand="1" w:val="04A0"/>
      </w:tblPr>
      <w:tblGrid>
        <w:gridCol w:w="5126"/>
        <w:gridCol w:w="5126"/>
      </w:tblGrid>
      <w:tr>
        <w:tc>
          <w:tcPr>
            <w:tcW w:type="dxa" w:w="5126"/>
            <w:shd w:fill="EFF5FF" w:val="clear"/>
            <w:tcBorders>
              <w:top w:val="single" w:sz="10" w:color="3978D7"/>
              <w:left w:val="single" w:sz="10" w:color="3978D7"/>
              <w:bottom w:val="single" w:sz="10" w:color="3978D7"/>
              <w:right w:val="single" w:sz="10" w:color="3978D7"/>
            </w:tcBorders>
            <w:tcMar>
              <w:top w:w="120" w:type="dxa"/>
              <w:start w:w="125" w:type="dxa"/>
              <w:bottom w:w="120" w:type="dxa"/>
              <w:end w:w="125" w:type="dxa"/>
            </w:tcMar>
          </w:tcPr>
          <w:p>
            <w:pPr>
              <w:keepLines/>
              <w:spacing w:before="0" w:after="60"/>
            </w:pPr>
            <w:r/>
            <w:r>
              <w:rPr>
                <w:rFonts w:ascii="Aptos" w:hAnsi="Aptos"/>
                <w:b/>
                <w:i w:val="0"/>
                <w:color w:val="3978D7"/>
                <w:sz w:val="15"/>
              </w:rPr>
              <w:t>PRIMARY MEMBER OUTCOME</w:t>
            </w:r>
          </w:p>
          <w:p>
            <w:pPr>
              <w:keepLines/>
              <w:spacing w:before="0" w:after="0" w:line="245" w:lineRule="auto"/>
            </w:pPr>
            <w:r>
              <w:rPr>
                <w:rFonts w:ascii="Aptos" w:hAnsi="Aptos"/>
                <w:b w:val="0"/>
                <w:i w:val="0"/>
                <w:color w:val="1E2730"/>
                <w:sz w:val="17"/>
              </w:rPr>
              <w:t>Identify the right operating partner category, prepare for a credible first conversation, and avoid making an inventory, MOQ, or contract decision before the commercial model is clear.</w:t>
            </w:r>
          </w:p>
        </w:tc>
        <w:tc>
          <w:tcPr>
            <w:tcW w:type="dxa" w:w="5126"/>
            <w:shd w:fill="FFF5E7" w:val="clear"/>
            <w:tcBorders>
              <w:top w:val="single" w:sz="10" w:color="C89B2C"/>
              <w:left w:val="single" w:sz="10" w:color="C89B2C"/>
              <w:bottom w:val="single" w:sz="10" w:color="C89B2C"/>
              <w:right w:val="single" w:sz="10" w:color="C89B2C"/>
            </w:tcBorders>
            <w:tcMar>
              <w:top w:w="120" w:type="dxa"/>
              <w:start w:w="125" w:type="dxa"/>
              <w:bottom w:w="120" w:type="dxa"/>
              <w:end w:w="125" w:type="dxa"/>
            </w:tcMar>
          </w:tcPr>
          <w:p>
            <w:pPr>
              <w:keepLines/>
              <w:spacing w:before="0" w:after="60"/>
            </w:pPr>
            <w:r/>
            <w:r>
              <w:rPr>
                <w:rFonts w:ascii="Aptos" w:hAnsi="Aptos"/>
                <w:b/>
                <w:i w:val="0"/>
                <w:color w:val="C89B2C"/>
                <w:sz w:val="15"/>
              </w:rPr>
              <w:t>OPERATING USE BOUNDARY</w:t>
            </w:r>
          </w:p>
          <w:p>
            <w:pPr>
              <w:keepLines/>
              <w:spacing w:before="0" w:after="0" w:line="245" w:lineRule="auto"/>
            </w:pPr>
            <w:r>
              <w:rPr>
                <w:rFonts w:ascii="Aptos" w:hAnsi="Aptos"/>
                <w:b w:val="0"/>
                <w:i w:val="0"/>
                <w:color w:val="1E2730"/>
                <w:sz w:val="17"/>
              </w:rPr>
              <w:t>This is a research-based, public-information directory. It is not a preferred-vendor list, procurement guarantee, legal/regulatory advice, or substitute for founder-specific diligence.</w:t>
            </w:r>
          </w:p>
        </w:tc>
      </w:tr>
    </w:tbl>
    <w:p>
      <w:pPr>
        <w:widowControl/>
      </w:pPr>
      <w:r>
        <w:br w:type="page"/>
      </w:r>
    </w:p>
    <w:p>
      <w:pPr>
        <w:keepNext/>
        <w:widowControl/>
        <w:spacing w:before="0" w:after="60"/>
      </w:pPr>
      <w:r>
        <w:rPr>
          <w:rFonts w:ascii="Aptos" w:hAnsi="Aptos"/>
          <w:b/>
          <w:i w:val="0"/>
          <w:color w:val="3978D7"/>
          <w:sz w:val="16"/>
        </w:rPr>
        <w:t>01 | FOUNDERS NEED OPERATING INFRASTRUCTURE, NOT JUST VENDOR NAMES</w:t>
      </w:r>
    </w:p>
    <w:p>
      <w:pPr>
        <w:keepNext/>
        <w:widowControl/>
        <w:spacing w:before="0" w:after="80"/>
      </w:pPr>
      <w:r>
        <w:rPr>
          <w:rFonts w:ascii="Aptos Display" w:hAnsi="Aptos Display"/>
          <w:b/>
          <w:i w:val="0"/>
          <w:color w:val="071E41"/>
          <w:sz w:val="40"/>
        </w:rPr>
        <w:t>From Traction to Structure</w:t>
      </w:r>
    </w:p>
    <w:p>
      <w:pPr>
        <w:keepNext/>
        <w:widowControl/>
        <w:spacing w:before="0" w:after="200" w:line="252" w:lineRule="auto"/>
      </w:pPr>
      <w:r>
        <w:rPr>
          <w:rFonts w:ascii="Aptos" w:hAnsi="Aptos"/>
          <w:b w:val="0"/>
          <w:i w:val="0"/>
          <w:color w:val="4B5563"/>
          <w:sz w:val="17"/>
        </w:rPr>
        <w:t>This directory sits inside a broader founder operating system. It helps Brand Blueprint members move from a sourcing question to a more disciplined operational decision - then into advisory or system-building support only when the work requires it.</w:t>
      </w:r>
    </w:p>
    <w:tbl>
      <w:tblPr>
        <w:tblW w:type="auto" w:w="0"/>
        <w:jc w:val="left"/>
        <w:tblLayout w:type="fixed"/>
        <w:tblLook w:firstColumn="1" w:firstRow="1" w:lastColumn="0" w:lastRow="0" w:noHBand="0" w:noVBand="1" w:val="04A0"/>
      </w:tblPr>
      <w:tblGrid>
        <w:gridCol w:w="10252"/>
      </w:tblGrid>
      <w:tr>
        <w:tc>
          <w:tcPr>
            <w:tcW w:type="dxa" w:w="1512"/>
            <w:shd w:fill="3978D7" w:val="clear"/>
            <w:tcMar>
              <w:top w:w="15" w:type="dxa"/>
              <w:start w:w="0" w:type="dxa"/>
              <w:bottom w:w="15" w:type="dxa"/>
              <w:end w:w="0" w:type="dxa"/>
            </w:tcMar>
          </w:tcPr>
          <w:p>
            <w:r/>
          </w:p>
        </w:tc>
      </w:tr>
    </w:tbl>
    <w:p>
      <w:pPr>
        <w:widowControl/>
        <w:spacing w:after="100"/>
      </w:pPr>
    </w:p>
    <w:tbl>
      <w:tblPr>
        <w:tblW w:type="auto" w:w="0"/>
        <w:jc w:val="center"/>
        <w:tblLayout w:type="fixed"/>
        <w:tblLook w:firstColumn="1" w:firstRow="1" w:lastColumn="0" w:lastRow="0" w:noHBand="0" w:noVBand="1" w:val="04A0"/>
      </w:tblPr>
      <w:tblGrid>
        <w:gridCol w:w="3417"/>
        <w:gridCol w:w="3417"/>
        <w:gridCol w:w="3417"/>
      </w:tblGrid>
      <w:tr>
        <w:tc>
          <w:tcPr>
            <w:tcW w:type="dxa" w:w="3412"/>
            <w:shd w:fill="EFF5FF" w:val="clear"/>
            <w:tcBorders>
              <w:top w:val="single" w:sz="7" w:color="3978D7"/>
              <w:left w:val="single" w:sz="4" w:color="FFFFFF"/>
              <w:bottom w:val="single" w:sz="7" w:color="3978D7"/>
              <w:right w:val="single" w:sz="4" w:color="FFFFFF"/>
            </w:tcBorders>
            <w:tcMar>
              <w:top w:w="135" w:type="dxa"/>
              <w:start w:w="115" w:type="dxa"/>
              <w:bottom w:w="135" w:type="dxa"/>
              <w:end w:w="115" w:type="dxa"/>
            </w:tcMar>
          </w:tcPr>
          <w:p>
            <w:pPr>
              <w:keepLines/>
              <w:spacing w:before="0" w:after="60"/>
            </w:pPr>
            <w:r/>
            <w:r>
              <w:rPr>
                <w:rFonts w:ascii="Aptos" w:hAnsi="Aptos"/>
                <w:b/>
                <w:i w:val="0"/>
                <w:color w:val="071E41"/>
                <w:sz w:val="16"/>
              </w:rPr>
              <w:t>THE BRAND BLUEPRINT</w:t>
            </w:r>
          </w:p>
          <w:p>
            <w:pPr>
              <w:keepLines/>
              <w:spacing w:before="0" w:after="100" w:line="245" w:lineRule="auto"/>
            </w:pPr>
            <w:r>
              <w:rPr>
                <w:rFonts w:ascii="Aptos" w:hAnsi="Aptos"/>
                <w:b w:val="0"/>
                <w:i w:val="0"/>
                <w:color w:val="1E2730"/>
                <w:sz w:val="17"/>
              </w:rPr>
              <w:t>Founder-facing ecosystem, Founder Network, content platform, opportunity engine, resource library, and curated access layer.</w:t>
            </w:r>
          </w:p>
          <w:p>
            <w:pPr>
              <w:keepLines/>
              <w:spacing w:before="0" w:after="0"/>
            </w:pPr>
            <w:r>
              <w:rPr>
                <w:rFonts w:ascii="Aptos" w:hAnsi="Aptos"/>
                <w:b/>
                <w:i w:val="0"/>
                <w:color w:val="3978D7"/>
                <w:sz w:val="14"/>
              </w:rPr>
              <w:t>SIGNAL + ACCESS</w:t>
            </w:r>
          </w:p>
        </w:tc>
        <w:tc>
          <w:tcPr>
            <w:tcW w:type="dxa" w:w="3412"/>
            <w:shd w:fill="F5F8FC" w:val="clear"/>
            <w:tcBorders>
              <w:top w:val="single" w:sz="7" w:color="3978D7"/>
              <w:left w:val="single" w:sz="4" w:color="FFFFFF"/>
              <w:bottom w:val="single" w:sz="7" w:color="3978D7"/>
              <w:right w:val="single" w:sz="4" w:color="FFFFFF"/>
            </w:tcBorders>
            <w:tcMar>
              <w:top w:w="135" w:type="dxa"/>
              <w:start w:w="115" w:type="dxa"/>
              <w:bottom w:w="135" w:type="dxa"/>
              <w:end w:w="115" w:type="dxa"/>
            </w:tcMar>
          </w:tcPr>
          <w:p>
            <w:pPr>
              <w:keepLines/>
              <w:spacing w:before="0" w:after="60"/>
            </w:pPr>
            <w:r/>
            <w:r>
              <w:rPr>
                <w:rFonts w:ascii="Aptos" w:hAnsi="Aptos"/>
                <w:b/>
                <w:i w:val="0"/>
                <w:color w:val="071E41"/>
                <w:sz w:val="16"/>
              </w:rPr>
              <w:t>VALUE GROWTH PARTNERS</w:t>
            </w:r>
          </w:p>
          <w:p>
            <w:pPr>
              <w:keepLines/>
              <w:spacing w:before="0" w:after="100" w:line="245" w:lineRule="auto"/>
            </w:pPr>
            <w:r>
              <w:rPr>
                <w:rFonts w:ascii="Aptos" w:hAnsi="Aptos"/>
                <w:b w:val="0"/>
                <w:i w:val="0"/>
                <w:color w:val="1E2730"/>
                <w:sz w:val="17"/>
              </w:rPr>
              <w:t>Strategic advisory and operating firm behind the ecosystem. Supports growth architecture, retail/distribution strategy, operations sourcing, forecasting, and partner orchestration.</w:t>
            </w:r>
          </w:p>
          <w:p>
            <w:pPr>
              <w:keepLines/>
              <w:spacing w:before="0" w:after="0"/>
            </w:pPr>
            <w:r>
              <w:rPr>
                <w:rFonts w:ascii="Aptos" w:hAnsi="Aptos"/>
                <w:b/>
                <w:i w:val="0"/>
                <w:color w:val="3978D7"/>
                <w:sz w:val="14"/>
              </w:rPr>
              <w:t>STRATEGY + EXECUTION</w:t>
            </w:r>
          </w:p>
        </w:tc>
        <w:tc>
          <w:tcPr>
            <w:tcW w:type="dxa" w:w="3427"/>
            <w:shd w:fill="DCEBFF" w:val="clear"/>
            <w:tcBorders>
              <w:top w:val="single" w:sz="7" w:color="3978D7"/>
              <w:left w:val="single" w:sz="4" w:color="FFFFFF"/>
              <w:bottom w:val="single" w:sz="7" w:color="3978D7"/>
              <w:right w:val="single" w:sz="4" w:color="FFFFFF"/>
            </w:tcBorders>
            <w:tcMar>
              <w:top w:w="135" w:type="dxa"/>
              <w:start w:w="115" w:type="dxa"/>
              <w:bottom w:w="135" w:type="dxa"/>
              <w:end w:w="115" w:type="dxa"/>
            </w:tcMar>
          </w:tcPr>
          <w:p>
            <w:pPr>
              <w:keepLines/>
              <w:spacing w:before="0" w:after="60"/>
            </w:pPr>
            <w:r/>
            <w:r>
              <w:rPr>
                <w:rFonts w:ascii="Aptos" w:hAnsi="Aptos"/>
                <w:b/>
                <w:i w:val="0"/>
                <w:color w:val="071E41"/>
                <w:sz w:val="16"/>
              </w:rPr>
              <w:t>GROWTH OS</w:t>
            </w:r>
          </w:p>
          <w:p>
            <w:pPr>
              <w:keepLines/>
              <w:spacing w:before="0" w:after="100" w:line="245" w:lineRule="auto"/>
            </w:pPr>
            <w:r>
              <w:rPr>
                <w:rFonts w:ascii="Aptos" w:hAnsi="Aptos"/>
                <w:b w:val="0"/>
                <w:i w:val="0"/>
                <w:color w:val="1E2730"/>
                <w:sz w:val="17"/>
              </w:rPr>
              <w:t>Implementation layer for dashboards, workflows, operating cadence, action tracking, forecasting, and partner management.</w:t>
            </w:r>
          </w:p>
          <w:p>
            <w:pPr>
              <w:keepLines/>
              <w:spacing w:before="0" w:after="0"/>
            </w:pPr>
            <w:r>
              <w:rPr>
                <w:rFonts w:ascii="Aptos" w:hAnsi="Aptos"/>
                <w:b/>
                <w:i w:val="0"/>
                <w:color w:val="3978D7"/>
                <w:sz w:val="14"/>
              </w:rPr>
              <w:t>SYSTEMS + CONTINUITY</w:t>
            </w:r>
          </w:p>
        </w:tc>
      </w:tr>
    </w:tbl>
    <w:p>
      <w:pPr>
        <w:widowControl/>
        <w:spacing w:after="80"/>
      </w:pPr>
    </w:p>
    <w:tbl>
      <w:tblPr>
        <w:tblW w:type="auto" w:w="0"/>
        <w:jc w:val="center"/>
        <w:tblLayout w:type="fixed"/>
        <w:tblLook w:firstColumn="1" w:firstRow="1" w:lastColumn="0" w:lastRow="0" w:noHBand="0" w:noVBand="1" w:val="04A0"/>
      </w:tblPr>
      <w:tblGrid>
        <w:gridCol w:w="10252"/>
      </w:tblGrid>
      <w:tr>
        <w:tc>
          <w:tcPr>
            <w:tcW w:type="dxa" w:w="10252"/>
            <w:shd w:fill="EFF5FF" w:val="clear"/>
            <w:tcBorders>
              <w:top w:val="single" w:sz="10" w:color="3978D7"/>
              <w:left w:val="single" w:sz="10" w:color="3978D7"/>
              <w:bottom w:val="single" w:sz="10" w:color="3978D7"/>
              <w:right w:val="single" w:sz="10" w:color="3978D7"/>
            </w:tcBorders>
            <w:tcMar>
              <w:top w:w="110" w:type="dxa"/>
              <w:start w:w="130" w:type="dxa"/>
              <w:bottom w:w="110" w:type="dxa"/>
              <w:end w:w="130" w:type="dxa"/>
            </w:tcMar>
          </w:tcPr>
          <w:p>
            <w:pPr>
              <w:keepLines/>
              <w:spacing w:before="0" w:after="40"/>
            </w:pPr>
            <w:r/>
            <w:r>
              <w:rPr>
                <w:rFonts w:ascii="Aptos" w:hAnsi="Aptos"/>
                <w:b/>
                <w:i w:val="0"/>
                <w:color w:val="3978D7"/>
                <w:sz w:val="16"/>
              </w:rPr>
              <w:t>WHAT THIS RESOURCE SOLVES</w:t>
            </w:r>
          </w:p>
          <w:p>
            <w:pPr>
              <w:keepLines/>
              <w:spacing w:before="0" w:after="0" w:line="247" w:lineRule="auto"/>
            </w:pPr>
            <w:r>
              <w:rPr>
                <w:rFonts w:ascii="Aptos" w:hAnsi="Aptos"/>
                <w:b w:val="0"/>
                <w:i w:val="0"/>
                <w:color w:val="1E2730"/>
                <w:sz w:val="17"/>
              </w:rPr>
              <w:t>Manufacturing, packaging, fulfillment, and warehousing decisions affect quality, margin, cash conversion, retailer readiness, customer experience, and the founder’s ability to execute. The objective is not to collect a long list of vendors. It is to identify the smallest credible operating commitment for the next stage of growth.</w:t>
            </w:r>
          </w:p>
        </w:tc>
      </w:tr>
    </w:tbl>
    <w:p>
      <w:pPr>
        <w:widowControl/>
        <w:spacing w:after="40"/>
      </w:pP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30" w:type="dxa"/>
              <w:start w:w="160" w:type="dxa"/>
              <w:bottom w:w="130" w:type="dxa"/>
              <w:end w:w="160" w:type="dxa"/>
            </w:tcMar>
          </w:tcPr>
          <w:p>
            <w:pPr>
              <w:keepLines/>
              <w:spacing w:before="0" w:after="80"/>
            </w:pPr>
            <w:r/>
            <w:r>
              <w:rPr>
                <w:rFonts w:ascii="Aptos Display" w:hAnsi="Aptos Display"/>
                <w:b/>
                <w:i w:val="0"/>
                <w:color w:val="C89B2C"/>
                <w:sz w:val="36"/>
              </w:rPr>
              <w:t>“</w:t>
            </w:r>
            <w:r>
              <w:rPr>
                <w:rFonts w:ascii="Aptos Display" w:hAnsi="Aptos Display"/>
                <w:b/>
                <w:i w:val="0"/>
                <w:color w:val="FFFFFF"/>
                <w:sz w:val="22"/>
              </w:rPr>
              <w:t>We create better founder outcomes when the right partners enter at the right time.</w:t>
            </w:r>
            <w:r>
              <w:rPr>
                <w:rFonts w:ascii="Aptos Display" w:hAnsi="Aptos Display"/>
                <w:b/>
                <w:i w:val="0"/>
                <w:color w:val="C89B2C"/>
                <w:sz w:val="36"/>
              </w:rPr>
              <w:t>”</w:t>
            </w:r>
          </w:p>
          <w:p>
            <w:pPr>
              <w:keepLines/>
              <w:spacing w:before="0" w:after="0"/>
            </w:pPr>
            <w:r>
              <w:rPr>
                <w:rFonts w:ascii="Aptos" w:hAnsi="Aptos"/>
                <w:b/>
                <w:i w:val="0"/>
                <w:color w:val="DCEBFF"/>
                <w:sz w:val="15"/>
              </w:rPr>
              <w:t>Dana Ammons | Founder &amp; Chief Ecosystem Architect</w:t>
            </w:r>
          </w:p>
        </w:tc>
      </w:tr>
    </w:tbl>
    <w:p>
      <w:pPr>
        <w:widowControl/>
        <w:spacing w:after="60"/>
      </w:pPr>
    </w:p>
    <w:p>
      <w:pPr>
        <w:keepNext/>
        <w:widowControl/>
        <w:spacing w:before="0" w:after="60"/>
      </w:pPr>
      <w:r>
        <w:rPr>
          <w:rFonts w:ascii="Aptos" w:hAnsi="Aptos"/>
          <w:b/>
          <w:i w:val="0"/>
          <w:color w:val="3978D7"/>
          <w:sz w:val="16"/>
        </w:rPr>
        <w:t>RESOURCE GOVERNANCE</w:t>
      </w:r>
    </w:p>
    <w:tbl>
      <w:tblPr>
        <w:tblW w:type="auto" w:w="0"/>
        <w:jc w:val="center"/>
        <w:tblLayout w:type="fixed"/>
        <w:tblLook w:firstColumn="1" w:firstRow="1" w:lastColumn="0" w:lastRow="0" w:noHBand="0" w:noVBand="1" w:val="04A0"/>
      </w:tblPr>
      <w:tblGrid>
        <w:gridCol w:w="5126"/>
        <w:gridCol w:w="5126"/>
      </w:tblGrid>
      <w:tr>
        <w:trPr>
          <w:tblHeader w:val="true"/>
        </w:trPr>
        <w:tc>
          <w:tcPr>
            <w:tcW w:type="dxa" w:w="2232"/>
            <w:shd w:fill="071E41" w:val="clear"/>
            <w:tcMar>
              <w:top w:w="75" w:type="dxa"/>
              <w:start w:w="90" w:type="dxa"/>
              <w:bottom w:w="75" w:type="dxa"/>
              <w:end w:w="90" w:type="dxa"/>
            </w:tcMar>
          </w:tcPr>
          <w:p>
            <w:pPr>
              <w:spacing w:before="0" w:after="0"/>
            </w:pPr>
            <w:r/>
            <w:r>
              <w:rPr>
                <w:rFonts w:ascii="Aptos" w:hAnsi="Aptos"/>
                <w:b/>
                <w:i w:val="0"/>
                <w:color w:val="FFFFFF"/>
                <w:sz w:val="15"/>
              </w:rPr>
              <w:t>CONTROL AREA</w:t>
            </w:r>
          </w:p>
        </w:tc>
        <w:tc>
          <w:tcPr>
            <w:tcW w:type="dxa" w:w="8020"/>
            <w:shd w:fill="071E41" w:val="clear"/>
            <w:tcMar>
              <w:top w:w="75" w:type="dxa"/>
              <w:start w:w="90" w:type="dxa"/>
              <w:bottom w:w="75" w:type="dxa"/>
              <w:end w:w="90" w:type="dxa"/>
            </w:tcMar>
          </w:tcPr>
          <w:p>
            <w:pPr>
              <w:spacing w:before="0" w:after="0"/>
            </w:pPr>
            <w:r/>
            <w:r>
              <w:rPr>
                <w:rFonts w:ascii="Aptos" w:hAnsi="Aptos"/>
                <w:b/>
                <w:i w:val="0"/>
                <w:color w:val="FFFFFF"/>
                <w:sz w:val="15"/>
              </w:rPr>
              <w:t>CURRENT OPERATING STANDARD</w:t>
            </w:r>
          </w:p>
        </w:tc>
      </w:tr>
      <w:tr>
        <w:trPr>
          <w:cantSplit/>
        </w:trPr>
        <w:tc>
          <w:tcPr>
            <w:tcW w:type="dxa" w:w="2232"/>
            <w:shd w:fill="FFFFFF" w:val="clear"/>
            <w:tcBorders>
              <w:bottom w:val="single" w:sz="3" w:color="D7DEE8"/>
            </w:tcBorders>
            <w:tcMar>
              <w:top w:w="85" w:type="dxa"/>
              <w:start w:w="90" w:type="dxa"/>
              <w:bottom w:w="85" w:type="dxa"/>
              <w:end w:w="90" w:type="dxa"/>
            </w:tcMar>
          </w:tcPr>
          <w:p>
            <w:pPr>
              <w:keepLines/>
              <w:spacing w:before="0" w:after="0"/>
            </w:pPr>
            <w:r/>
            <w:r>
              <w:rPr>
                <w:rFonts w:ascii="Aptos" w:hAnsi="Aptos"/>
                <w:b/>
                <w:i w:val="0"/>
                <w:color w:val="0B2D57"/>
                <w:sz w:val="16"/>
              </w:rPr>
              <w:t>Resource ID</w:t>
            </w:r>
          </w:p>
        </w:tc>
        <w:tc>
          <w:tcPr>
            <w:tcW w:type="dxa" w:w="8020"/>
            <w:shd w:fill="FFFFFF" w:val="clear"/>
            <w:tcBorders>
              <w:bottom w:val="single" w:sz="3" w:color="D7DEE8"/>
            </w:tcBorders>
            <w:tcMar>
              <w:top w:w="85" w:type="dxa"/>
              <w:start w:w="90" w:type="dxa"/>
              <w:bottom w:w="85" w:type="dxa"/>
              <w:end w:w="90" w:type="dxa"/>
            </w:tcMar>
          </w:tcPr>
          <w:p>
            <w:pPr>
              <w:keepLines/>
              <w:spacing w:before="0" w:after="0" w:line="240" w:lineRule="auto"/>
            </w:pPr>
            <w:r/>
            <w:r>
              <w:rPr>
                <w:rFonts w:ascii="Aptos" w:hAnsi="Aptos"/>
                <w:b w:val="0"/>
                <w:i w:val="0"/>
                <w:color w:val="1E2730"/>
                <w:sz w:val="16"/>
              </w:rPr>
              <w:t>OP-002 | Manufacturing, Packaging + Fulfillment Operating Partner Directory</w:t>
            </w:r>
          </w:p>
        </w:tc>
      </w:tr>
      <w:tr>
        <w:trPr>
          <w:cantSplit/>
        </w:trPr>
        <w:tc>
          <w:tcPr>
            <w:tcW w:type="dxa" w:w="2232"/>
            <w:shd w:fill="F5F8FC" w:val="clear"/>
            <w:tcBorders>
              <w:bottom w:val="single" w:sz="3" w:color="D7DEE8"/>
            </w:tcBorders>
            <w:tcMar>
              <w:top w:w="85" w:type="dxa"/>
              <w:start w:w="90" w:type="dxa"/>
              <w:bottom w:w="85" w:type="dxa"/>
              <w:end w:w="90" w:type="dxa"/>
            </w:tcMar>
          </w:tcPr>
          <w:p>
            <w:pPr>
              <w:keepLines/>
              <w:spacing w:before="0" w:after="0"/>
            </w:pPr>
            <w:r/>
            <w:r>
              <w:rPr>
                <w:rFonts w:ascii="Aptos" w:hAnsi="Aptos"/>
                <w:b/>
                <w:i w:val="0"/>
                <w:color w:val="0B2D57"/>
                <w:sz w:val="16"/>
              </w:rPr>
              <w:t>Collection</w:t>
            </w:r>
          </w:p>
        </w:tc>
        <w:tc>
          <w:tcPr>
            <w:tcW w:type="dxa" w:w="8020"/>
            <w:shd w:fill="F5F8FC" w:val="clear"/>
            <w:tcBorders>
              <w:bottom w:val="single" w:sz="3" w:color="D7DEE8"/>
            </w:tcBorders>
            <w:tcMar>
              <w:top w:w="85" w:type="dxa"/>
              <w:start w:w="90" w:type="dxa"/>
              <w:bottom w:w="85" w:type="dxa"/>
              <w:end w:w="90" w:type="dxa"/>
            </w:tcMar>
          </w:tcPr>
          <w:p>
            <w:pPr>
              <w:keepLines/>
              <w:spacing w:before="0" w:after="0" w:line="240" w:lineRule="auto"/>
            </w:pPr>
            <w:r/>
            <w:r>
              <w:rPr>
                <w:rFonts w:ascii="Aptos" w:hAnsi="Aptos"/>
                <w:b w:val="0"/>
                <w:i w:val="0"/>
                <w:color w:val="1E2730"/>
                <w:sz w:val="16"/>
              </w:rPr>
              <w:t>04 | Product, Packaging + Operations</w:t>
            </w:r>
          </w:p>
        </w:tc>
      </w:tr>
      <w:tr>
        <w:trPr>
          <w:cantSplit/>
        </w:trPr>
        <w:tc>
          <w:tcPr>
            <w:tcW w:type="dxa" w:w="2232"/>
            <w:shd w:fill="FFFFFF" w:val="clear"/>
            <w:tcBorders>
              <w:bottom w:val="single" w:sz="3" w:color="D7DEE8"/>
            </w:tcBorders>
            <w:tcMar>
              <w:top w:w="85" w:type="dxa"/>
              <w:start w:w="90" w:type="dxa"/>
              <w:bottom w:w="85" w:type="dxa"/>
              <w:end w:w="90" w:type="dxa"/>
            </w:tcMar>
          </w:tcPr>
          <w:p>
            <w:pPr>
              <w:keepLines/>
              <w:spacing w:before="0" w:after="0"/>
            </w:pPr>
            <w:r/>
            <w:r>
              <w:rPr>
                <w:rFonts w:ascii="Aptos" w:hAnsi="Aptos"/>
                <w:b/>
                <w:i w:val="0"/>
                <w:color w:val="0B2D57"/>
                <w:sz w:val="16"/>
              </w:rPr>
              <w:t>Member access</w:t>
            </w:r>
          </w:p>
        </w:tc>
        <w:tc>
          <w:tcPr>
            <w:tcW w:type="dxa" w:w="8020"/>
            <w:shd w:fill="FFFFFF" w:val="clear"/>
            <w:tcBorders>
              <w:bottom w:val="single" w:sz="3" w:color="D7DEE8"/>
            </w:tcBorders>
            <w:tcMar>
              <w:top w:w="85" w:type="dxa"/>
              <w:start w:w="90" w:type="dxa"/>
              <w:bottom w:w="85" w:type="dxa"/>
              <w:end w:w="90" w:type="dxa"/>
            </w:tcMar>
          </w:tcPr>
          <w:p>
            <w:pPr>
              <w:keepLines/>
              <w:spacing w:before="0" w:after="0" w:line="240" w:lineRule="auto"/>
            </w:pPr>
            <w:r/>
            <w:r>
              <w:rPr>
                <w:rFonts w:ascii="Aptos" w:hAnsi="Aptos"/>
                <w:b w:val="0"/>
                <w:i w:val="0"/>
                <w:color w:val="1E2730"/>
                <w:sz w:val="16"/>
              </w:rPr>
              <w:t>Founder Network at $99/month and above, plus active VGP advisory clients, subject to current offer terms.</w:t>
            </w:r>
          </w:p>
        </w:tc>
      </w:tr>
      <w:tr>
        <w:trPr>
          <w:cantSplit/>
        </w:trPr>
        <w:tc>
          <w:tcPr>
            <w:tcW w:type="dxa" w:w="2232"/>
            <w:shd w:fill="F5F8FC" w:val="clear"/>
            <w:tcBorders>
              <w:bottom w:val="single" w:sz="3" w:color="D7DEE8"/>
            </w:tcBorders>
            <w:tcMar>
              <w:top w:w="85" w:type="dxa"/>
              <w:start w:w="90" w:type="dxa"/>
              <w:bottom w:w="85" w:type="dxa"/>
              <w:end w:w="90" w:type="dxa"/>
            </w:tcMar>
          </w:tcPr>
          <w:p>
            <w:pPr>
              <w:keepLines/>
              <w:spacing w:before="0" w:after="0"/>
            </w:pPr>
            <w:r/>
            <w:r>
              <w:rPr>
                <w:rFonts w:ascii="Aptos" w:hAnsi="Aptos"/>
                <w:b/>
                <w:i w:val="0"/>
                <w:color w:val="0B2D57"/>
                <w:sz w:val="16"/>
              </w:rPr>
              <w:t>Partner status</w:t>
            </w:r>
          </w:p>
        </w:tc>
        <w:tc>
          <w:tcPr>
            <w:tcW w:type="dxa" w:w="8020"/>
            <w:shd w:fill="F5F8FC" w:val="clear"/>
            <w:tcBorders>
              <w:bottom w:val="single" w:sz="3" w:color="D7DEE8"/>
            </w:tcBorders>
            <w:tcMar>
              <w:top w:w="85" w:type="dxa"/>
              <w:start w:w="90" w:type="dxa"/>
              <w:bottom w:w="85" w:type="dxa"/>
              <w:end w:w="90" w:type="dxa"/>
            </w:tcMar>
          </w:tcPr>
          <w:p>
            <w:pPr>
              <w:keepLines/>
              <w:spacing w:before="0" w:after="0" w:line="240" w:lineRule="auto"/>
            </w:pPr>
            <w:r/>
            <w:r>
              <w:rPr>
                <w:rFonts w:ascii="Aptos" w:hAnsi="Aptos"/>
                <w:b w:val="0"/>
                <w:i w:val="0"/>
                <w:color w:val="1E2730"/>
                <w:sz w:val="16"/>
              </w:rPr>
              <w:t>Research shortlist based on publicly available information. Inclusion is not a VGP endorsement, guarantee, or preferred-partner designation.</w:t>
            </w:r>
          </w:p>
        </w:tc>
      </w:tr>
      <w:tr>
        <w:trPr>
          <w:cantSplit/>
        </w:trPr>
        <w:tc>
          <w:tcPr>
            <w:tcW w:type="dxa" w:w="2232"/>
            <w:shd w:fill="FFFFFF" w:val="clear"/>
            <w:tcBorders>
              <w:bottom w:val="single" w:sz="3" w:color="D7DEE8"/>
            </w:tcBorders>
            <w:tcMar>
              <w:top w:w="85" w:type="dxa"/>
              <w:start w:w="90" w:type="dxa"/>
              <w:bottom w:w="85" w:type="dxa"/>
              <w:end w:w="90" w:type="dxa"/>
            </w:tcMar>
          </w:tcPr>
          <w:p>
            <w:pPr>
              <w:keepLines/>
              <w:spacing w:before="0" w:after="0"/>
            </w:pPr>
            <w:r/>
            <w:r>
              <w:rPr>
                <w:rFonts w:ascii="Aptos" w:hAnsi="Aptos"/>
                <w:b/>
                <w:i w:val="0"/>
                <w:color w:val="0B2D57"/>
                <w:sz w:val="16"/>
              </w:rPr>
              <w:t>Public-source snapshot</w:t>
            </w:r>
          </w:p>
        </w:tc>
        <w:tc>
          <w:tcPr>
            <w:tcW w:type="dxa" w:w="8020"/>
            <w:shd w:fill="FFFFFF" w:val="clear"/>
            <w:tcBorders>
              <w:bottom w:val="single" w:sz="3" w:color="D7DEE8"/>
            </w:tcBorders>
            <w:tcMar>
              <w:top w:w="85" w:type="dxa"/>
              <w:start w:w="90" w:type="dxa"/>
              <w:bottom w:w="85" w:type="dxa"/>
              <w:end w:w="90" w:type="dxa"/>
            </w:tcMar>
          </w:tcPr>
          <w:p>
            <w:pPr>
              <w:keepLines/>
              <w:spacing w:before="0" w:after="0" w:line="240" w:lineRule="auto"/>
            </w:pPr>
            <w:r/>
            <w:r>
              <w:rPr>
                <w:rFonts w:ascii="Aptos" w:hAnsi="Aptos"/>
                <w:b w:val="0"/>
                <w:i w:val="0"/>
                <w:color w:val="1E2730"/>
                <w:sz w:val="16"/>
              </w:rPr>
              <w:t>Company-controlled public pages and contact routes were reviewed for the prior verified edition dated July 1, 2026. MOQs, lead times, rates, capacity, and contacts can change.</w:t>
            </w:r>
          </w:p>
        </w:tc>
      </w:tr>
      <w:tr>
        <w:trPr>
          <w:cantSplit/>
        </w:trPr>
        <w:tc>
          <w:tcPr>
            <w:tcW w:type="dxa" w:w="2232"/>
            <w:shd w:fill="F5F8FC" w:val="clear"/>
            <w:tcBorders>
              <w:bottom w:val="single" w:sz="3" w:color="D7DEE8"/>
            </w:tcBorders>
            <w:tcMar>
              <w:top w:w="85" w:type="dxa"/>
              <w:start w:w="90" w:type="dxa"/>
              <w:bottom w:w="85" w:type="dxa"/>
              <w:end w:w="90" w:type="dxa"/>
            </w:tcMar>
          </w:tcPr>
          <w:p>
            <w:pPr>
              <w:keepLines/>
              <w:spacing w:before="0" w:after="0"/>
            </w:pPr>
            <w:r/>
            <w:r>
              <w:rPr>
                <w:rFonts w:ascii="Aptos" w:hAnsi="Aptos"/>
                <w:b/>
                <w:i w:val="0"/>
                <w:color w:val="0B2D57"/>
                <w:sz w:val="16"/>
              </w:rPr>
              <w:t>Refresh rhythm</w:t>
            </w:r>
          </w:p>
        </w:tc>
        <w:tc>
          <w:tcPr>
            <w:tcW w:type="dxa" w:w="8020"/>
            <w:shd w:fill="F5F8FC" w:val="clear"/>
            <w:tcBorders>
              <w:bottom w:val="single" w:sz="3" w:color="D7DEE8"/>
            </w:tcBorders>
            <w:tcMar>
              <w:top w:w="85" w:type="dxa"/>
              <w:start w:w="90" w:type="dxa"/>
              <w:bottom w:w="85" w:type="dxa"/>
              <w:end w:w="90" w:type="dxa"/>
            </w:tcMar>
          </w:tcPr>
          <w:p>
            <w:pPr>
              <w:keepLines/>
              <w:spacing w:before="0" w:after="0" w:line="240" w:lineRule="auto"/>
            </w:pPr>
            <w:r/>
            <w:r>
              <w:rPr>
                <w:rFonts w:ascii="Aptos" w:hAnsi="Aptos"/>
                <w:b w:val="0"/>
                <w:i w:val="0"/>
                <w:color w:val="1E2730"/>
                <w:sz w:val="16"/>
              </w:rPr>
              <w:t>Quarterly catalog review; immediate refresh when a material partner term, website, capability claim, or contact route changes.</w:t>
            </w:r>
          </w:p>
        </w:tc>
      </w:tr>
    </w:tbl>
    <w:p>
      <w:pPr>
        <w:widowControl/>
      </w:pPr>
      <w:r>
        <w:br w:type="page"/>
      </w:r>
    </w:p>
    <w:p>
      <w:pPr>
        <w:keepNext/>
        <w:widowControl/>
        <w:spacing w:before="0" w:after="60"/>
      </w:pPr>
      <w:r>
        <w:rPr>
          <w:rFonts w:ascii="Aptos" w:hAnsi="Aptos"/>
          <w:b/>
          <w:i w:val="0"/>
          <w:color w:val="3978D7"/>
          <w:sz w:val="16"/>
        </w:rPr>
        <w:t>02 | HOW TO USE THIS DIRECTORY</w:t>
      </w:r>
    </w:p>
    <w:p>
      <w:pPr>
        <w:keepNext/>
        <w:widowControl/>
        <w:spacing w:before="0" w:after="80"/>
      </w:pPr>
      <w:r>
        <w:rPr>
          <w:rFonts w:ascii="Aptos Display" w:hAnsi="Aptos Display"/>
          <w:b/>
          <w:i w:val="0"/>
          <w:color w:val="071E41"/>
          <w:sz w:val="40"/>
        </w:rPr>
        <w:t>A Five-Step Operating Partner Path</w:t>
      </w:r>
    </w:p>
    <w:p>
      <w:pPr>
        <w:keepNext/>
        <w:widowControl/>
        <w:spacing w:before="0" w:after="200" w:line="252" w:lineRule="auto"/>
      </w:pPr>
      <w:r>
        <w:rPr>
          <w:rFonts w:ascii="Aptos" w:hAnsi="Aptos"/>
          <w:b w:val="0"/>
          <w:i w:val="0"/>
          <w:color w:val="4B5563"/>
          <w:sz w:val="17"/>
        </w:rPr>
        <w:t>Use the directory as a decision system. Begin with the work in front of you, not with the most recognizable name or the lowest published MOQ.</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44"/>
            <w:shd w:fill="EFF5FF" w:val="clear"/>
            <w:tcBorders>
              <w:top w:val="single" w:sz="7" w:color="3978D7"/>
              <w:left w:val="single" w:sz="4" w:color="FFFFFF"/>
              <w:bottom w:val="single" w:sz="7" w:color="3978D7"/>
              <w:right w:val="single" w:sz="4" w:color="FFFFFF"/>
            </w:tcBorders>
            <w:tcMar>
              <w:top w:w="90" w:type="dxa"/>
              <w:start w:w="85" w:type="dxa"/>
              <w:bottom w:w="90" w:type="dxa"/>
              <w:end w:w="85" w:type="dxa"/>
            </w:tcMar>
          </w:tcPr>
          <w:p>
            <w:pPr>
              <w:keepLines/>
              <w:spacing w:before="0" w:after="40"/>
              <w:jc w:val="center"/>
            </w:pPr>
            <w:r/>
            <w:r>
              <w:rPr>
                <w:rFonts w:ascii="Aptos Display" w:hAnsi="Aptos Display"/>
                <w:b/>
                <w:i w:val="0"/>
                <w:color w:val="3978D7"/>
                <w:sz w:val="24"/>
              </w:rPr>
              <w:t>1</w:t>
            </w:r>
          </w:p>
          <w:p>
            <w:pPr>
              <w:keepLines/>
              <w:spacing w:before="0" w:after="40"/>
              <w:jc w:val="center"/>
            </w:pPr>
            <w:r>
              <w:rPr>
                <w:rFonts w:ascii="Aptos" w:hAnsi="Aptos"/>
                <w:b/>
                <w:i w:val="0"/>
                <w:color w:val="071E41"/>
                <w:sz w:val="14"/>
              </w:rPr>
              <w:t>DIAGNOSE</w:t>
            </w:r>
          </w:p>
          <w:p>
            <w:pPr>
              <w:keepLines/>
              <w:spacing w:before="0" w:after="0" w:line="226" w:lineRule="auto"/>
              <w:jc w:val="center"/>
            </w:pPr>
            <w:r>
              <w:rPr>
                <w:rFonts w:ascii="Aptos" w:hAnsi="Aptos"/>
                <w:b w:val="0"/>
                <w:i w:val="0"/>
                <w:color w:val="4B5563"/>
                <w:sz w:val="14"/>
              </w:rPr>
              <w:t>Clarify the operating decision, channel, timing, and risk.</w:t>
            </w:r>
          </w:p>
        </w:tc>
        <w:tc>
          <w:tcPr>
            <w:tcW w:type="dxa" w:w="2044"/>
            <w:shd w:fill="F5F8FC" w:val="clear"/>
            <w:tcBorders>
              <w:top w:val="single" w:sz="7" w:color="3978D7"/>
              <w:left w:val="single" w:sz="4" w:color="FFFFFF"/>
              <w:bottom w:val="single" w:sz="7" w:color="3978D7"/>
              <w:right w:val="single" w:sz="4" w:color="FFFFFF"/>
            </w:tcBorders>
            <w:tcMar>
              <w:top w:w="90" w:type="dxa"/>
              <w:start w:w="85" w:type="dxa"/>
              <w:bottom w:w="90" w:type="dxa"/>
              <w:end w:w="85" w:type="dxa"/>
            </w:tcMar>
          </w:tcPr>
          <w:p>
            <w:pPr>
              <w:keepLines/>
              <w:spacing w:before="0" w:after="40"/>
              <w:jc w:val="center"/>
            </w:pPr>
            <w:r/>
            <w:r>
              <w:rPr>
                <w:rFonts w:ascii="Aptos Display" w:hAnsi="Aptos Display"/>
                <w:b/>
                <w:i w:val="0"/>
                <w:color w:val="3978D7"/>
                <w:sz w:val="24"/>
              </w:rPr>
              <w:t>2</w:t>
            </w:r>
          </w:p>
          <w:p>
            <w:pPr>
              <w:keepLines/>
              <w:spacing w:before="0" w:after="40"/>
              <w:jc w:val="center"/>
            </w:pPr>
            <w:r>
              <w:rPr>
                <w:rFonts w:ascii="Aptos" w:hAnsi="Aptos"/>
                <w:b/>
                <w:i w:val="0"/>
                <w:color w:val="071E41"/>
                <w:sz w:val="14"/>
              </w:rPr>
              <w:t>PREPARE</w:t>
            </w:r>
          </w:p>
          <w:p>
            <w:pPr>
              <w:keepLines/>
              <w:spacing w:before="0" w:after="0" w:line="226" w:lineRule="auto"/>
              <w:jc w:val="center"/>
            </w:pPr>
            <w:r>
              <w:rPr>
                <w:rFonts w:ascii="Aptos" w:hAnsi="Aptos"/>
                <w:b w:val="0"/>
                <w:i w:val="0"/>
                <w:color w:val="4B5563"/>
                <w:sz w:val="14"/>
              </w:rPr>
              <w:t>Build the brief, budget, and evidence a partner needs.</w:t>
            </w:r>
          </w:p>
        </w:tc>
        <w:tc>
          <w:tcPr>
            <w:tcW w:type="dxa" w:w="2044"/>
            <w:shd w:fill="EFF5FF" w:val="clear"/>
            <w:tcBorders>
              <w:top w:val="single" w:sz="7" w:color="3978D7"/>
              <w:left w:val="single" w:sz="4" w:color="FFFFFF"/>
              <w:bottom w:val="single" w:sz="7" w:color="3978D7"/>
              <w:right w:val="single" w:sz="4" w:color="FFFFFF"/>
            </w:tcBorders>
            <w:tcMar>
              <w:top w:w="90" w:type="dxa"/>
              <w:start w:w="85" w:type="dxa"/>
              <w:bottom w:w="90" w:type="dxa"/>
              <w:end w:w="85" w:type="dxa"/>
            </w:tcMar>
          </w:tcPr>
          <w:p>
            <w:pPr>
              <w:keepLines/>
              <w:spacing w:before="0" w:after="40"/>
              <w:jc w:val="center"/>
            </w:pPr>
            <w:r/>
            <w:r>
              <w:rPr>
                <w:rFonts w:ascii="Aptos Display" w:hAnsi="Aptos Display"/>
                <w:b/>
                <w:i w:val="0"/>
                <w:color w:val="3978D7"/>
                <w:sz w:val="24"/>
              </w:rPr>
              <w:t>3</w:t>
            </w:r>
          </w:p>
          <w:p>
            <w:pPr>
              <w:keepLines/>
              <w:spacing w:before="0" w:after="40"/>
              <w:jc w:val="center"/>
            </w:pPr>
            <w:r>
              <w:rPr>
                <w:rFonts w:ascii="Aptos" w:hAnsi="Aptos"/>
                <w:b/>
                <w:i w:val="0"/>
                <w:color w:val="071E41"/>
                <w:sz w:val="14"/>
              </w:rPr>
              <w:t>MATCH</w:t>
            </w:r>
          </w:p>
          <w:p>
            <w:pPr>
              <w:keepLines/>
              <w:spacing w:before="0" w:after="0" w:line="226" w:lineRule="auto"/>
              <w:jc w:val="center"/>
            </w:pPr>
            <w:r>
              <w:rPr>
                <w:rFonts w:ascii="Aptos" w:hAnsi="Aptos"/>
                <w:b w:val="0"/>
                <w:i w:val="0"/>
                <w:color w:val="4B5563"/>
                <w:sz w:val="14"/>
              </w:rPr>
              <w:t>Compare the smallest credible partner set for the job.</w:t>
            </w:r>
          </w:p>
        </w:tc>
        <w:tc>
          <w:tcPr>
            <w:tcW w:type="dxa" w:w="2044"/>
            <w:shd w:fill="F5F8FC" w:val="clear"/>
            <w:tcBorders>
              <w:top w:val="single" w:sz="7" w:color="3978D7"/>
              <w:left w:val="single" w:sz="4" w:color="FFFFFF"/>
              <w:bottom w:val="single" w:sz="7" w:color="3978D7"/>
              <w:right w:val="single" w:sz="4" w:color="FFFFFF"/>
            </w:tcBorders>
            <w:tcMar>
              <w:top w:w="90" w:type="dxa"/>
              <w:start w:w="85" w:type="dxa"/>
              <w:bottom w:w="90" w:type="dxa"/>
              <w:end w:w="85" w:type="dxa"/>
            </w:tcMar>
          </w:tcPr>
          <w:p>
            <w:pPr>
              <w:keepLines/>
              <w:spacing w:before="0" w:after="40"/>
              <w:jc w:val="center"/>
            </w:pPr>
            <w:r/>
            <w:r>
              <w:rPr>
                <w:rFonts w:ascii="Aptos Display" w:hAnsi="Aptos Display"/>
                <w:b/>
                <w:i w:val="0"/>
                <w:color w:val="3978D7"/>
                <w:sz w:val="24"/>
              </w:rPr>
              <w:t>4</w:t>
            </w:r>
          </w:p>
          <w:p>
            <w:pPr>
              <w:keepLines/>
              <w:spacing w:before="0" w:after="40"/>
              <w:jc w:val="center"/>
            </w:pPr>
            <w:r>
              <w:rPr>
                <w:rFonts w:ascii="Aptos" w:hAnsi="Aptos"/>
                <w:b/>
                <w:i w:val="0"/>
                <w:color w:val="071E41"/>
                <w:sz w:val="14"/>
              </w:rPr>
              <w:t>VALIDATE</w:t>
            </w:r>
          </w:p>
          <w:p>
            <w:pPr>
              <w:keepLines/>
              <w:spacing w:before="0" w:after="0" w:line="226" w:lineRule="auto"/>
              <w:jc w:val="center"/>
            </w:pPr>
            <w:r>
              <w:rPr>
                <w:rFonts w:ascii="Aptos" w:hAnsi="Aptos"/>
                <w:b w:val="0"/>
                <w:i w:val="0"/>
                <w:color w:val="4B5563"/>
                <w:sz w:val="14"/>
              </w:rPr>
              <w:t>Confirm written MOQ, lead time, scope, terms, and quality path.</w:t>
            </w:r>
          </w:p>
        </w:tc>
        <w:tc>
          <w:tcPr>
            <w:tcW w:type="dxa" w:w="2044"/>
            <w:shd w:fill="EFF5FF" w:val="clear"/>
            <w:tcBorders>
              <w:top w:val="single" w:sz="7" w:color="3978D7"/>
              <w:left w:val="single" w:sz="4" w:color="FFFFFF"/>
              <w:bottom w:val="single" w:sz="7" w:color="3978D7"/>
              <w:right w:val="single" w:sz="4" w:color="FFFFFF"/>
            </w:tcBorders>
            <w:tcMar>
              <w:top w:w="90" w:type="dxa"/>
              <w:start w:w="85" w:type="dxa"/>
              <w:bottom w:w="90" w:type="dxa"/>
              <w:end w:w="85" w:type="dxa"/>
            </w:tcMar>
          </w:tcPr>
          <w:p>
            <w:pPr>
              <w:keepLines/>
              <w:spacing w:before="0" w:after="40"/>
              <w:jc w:val="center"/>
            </w:pPr>
            <w:r/>
            <w:r>
              <w:rPr>
                <w:rFonts w:ascii="Aptos Display" w:hAnsi="Aptos Display"/>
                <w:b/>
                <w:i w:val="0"/>
                <w:color w:val="3978D7"/>
                <w:sz w:val="24"/>
              </w:rPr>
              <w:t>5</w:t>
            </w:r>
          </w:p>
          <w:p>
            <w:pPr>
              <w:keepLines/>
              <w:spacing w:before="0" w:after="40"/>
              <w:jc w:val="center"/>
            </w:pPr>
            <w:r>
              <w:rPr>
                <w:rFonts w:ascii="Aptos" w:hAnsi="Aptos"/>
                <w:b/>
                <w:i w:val="0"/>
                <w:color w:val="071E41"/>
                <w:sz w:val="14"/>
              </w:rPr>
              <w:t>OPERATE</w:t>
            </w:r>
          </w:p>
          <w:p>
            <w:pPr>
              <w:keepLines/>
              <w:spacing w:before="0" w:after="0" w:line="226" w:lineRule="auto"/>
              <w:jc w:val="center"/>
            </w:pPr>
            <w:r>
              <w:rPr>
                <w:rFonts w:ascii="Aptos" w:hAnsi="Aptos"/>
                <w:b w:val="0"/>
                <w:i w:val="0"/>
                <w:color w:val="4B5563"/>
                <w:sz w:val="14"/>
              </w:rPr>
              <w:t>Use systems, forecasts, and partner cadence to scale with control.</w:t>
            </w:r>
          </w:p>
        </w:tc>
      </w:tr>
    </w:tbl>
    <w:p>
      <w:pPr>
        <w:widowControl/>
        <w:spacing w:after="100"/>
      </w:pPr>
    </w:p>
    <w:tbl>
      <w:tblPr>
        <w:tblW w:type="auto" w:w="0"/>
        <w:jc w:val="center"/>
        <w:tblLayout w:type="fixed"/>
        <w:tblLook w:firstColumn="1" w:firstRow="1" w:lastColumn="0" w:lastRow="0" w:noHBand="0" w:noVBand="1" w:val="04A0"/>
      </w:tblPr>
      <w:tblGrid>
        <w:gridCol w:w="10252"/>
      </w:tblGrid>
      <w:tr>
        <w:tc>
          <w:tcPr>
            <w:tcW w:type="dxa" w:w="10252"/>
            <w:shd w:fill="EFF5FF" w:val="clear"/>
            <w:tcBorders>
              <w:top w:val="single" w:sz="10" w:color="3978D7"/>
              <w:left w:val="single" w:sz="10" w:color="3978D7"/>
              <w:bottom w:val="single" w:sz="10" w:color="3978D7"/>
              <w:right w:val="single" w:sz="10" w:color="3978D7"/>
            </w:tcBorders>
            <w:tcMar>
              <w:top w:w="110" w:type="dxa"/>
              <w:start w:w="130" w:type="dxa"/>
              <w:bottom w:w="110" w:type="dxa"/>
              <w:end w:w="130" w:type="dxa"/>
            </w:tcMar>
          </w:tcPr>
          <w:p>
            <w:pPr>
              <w:keepLines/>
              <w:spacing w:before="0" w:after="40"/>
            </w:pPr>
            <w:r/>
            <w:r>
              <w:rPr>
                <w:rFonts w:ascii="Aptos" w:hAnsi="Aptos"/>
                <w:b/>
                <w:i w:val="0"/>
                <w:color w:val="3978D7"/>
                <w:sz w:val="16"/>
              </w:rPr>
              <w:t>START WITH THE ACTIVE DECISION</w:t>
            </w:r>
          </w:p>
          <w:p>
            <w:pPr>
              <w:keepLines/>
              <w:spacing w:before="0" w:after="0" w:line="247" w:lineRule="auto"/>
            </w:pPr>
            <w:r>
              <w:rPr>
                <w:rFonts w:ascii="Aptos" w:hAnsi="Aptos"/>
                <w:b w:val="0"/>
                <w:i w:val="0"/>
                <w:color w:val="1E2730"/>
                <w:sz w:val="17"/>
              </w:rPr>
              <w:t>Choose one: make a first commercial run; change formulation or packaging; outsource DTC fulfillment; secure flex space; add retail distribution capability; or create a more reliable re-order path. A good first question is specific, time-bound, and tied to a real product or operating need.</w:t>
            </w:r>
          </w:p>
        </w:tc>
      </w:tr>
    </w:tbl>
    <w:p>
      <w:pPr>
        <w:widowControl/>
        <w:spacing w:after="40"/>
      </w:pPr>
    </w:p>
    <w:p>
      <w:pPr>
        <w:keepNext/>
        <w:widowControl/>
        <w:spacing w:before="0" w:after="60"/>
      </w:pPr>
      <w:r>
        <w:rPr>
          <w:rFonts w:ascii="Aptos" w:hAnsi="Aptos"/>
          <w:b/>
          <w:i w:val="0"/>
          <w:color w:val="3978D7"/>
          <w:sz w:val="16"/>
        </w:rPr>
        <w:t>THE FOUR DECISION LENSES</w:t>
      </w:r>
    </w:p>
    <w:tbl>
      <w:tblPr>
        <w:tblW w:type="auto" w:w="0"/>
        <w:jc w:val="center"/>
        <w:tblLayout w:type="fixed"/>
        <w:tblLook w:firstColumn="1" w:firstRow="1" w:lastColumn="0" w:lastRow="0" w:noHBand="0" w:noVBand="1" w:val="04A0"/>
      </w:tblPr>
      <w:tblGrid>
        <w:gridCol w:w="3417"/>
        <w:gridCol w:w="3417"/>
        <w:gridCol w:w="3417"/>
      </w:tblGrid>
      <w:tr>
        <w:trPr>
          <w:tblHeader w:val="true"/>
        </w:trPr>
        <w:tc>
          <w:tcPr>
            <w:tcW w:type="dxa" w:w="2232"/>
            <w:shd w:fill="071E41" w:val="clear"/>
            <w:tcMar>
              <w:top w:w="75" w:type="dxa"/>
              <w:start w:w="90" w:type="dxa"/>
              <w:bottom w:w="75" w:type="dxa"/>
              <w:end w:w="90" w:type="dxa"/>
            </w:tcMar>
          </w:tcPr>
          <w:p>
            <w:pPr>
              <w:spacing w:before="0" w:after="0"/>
            </w:pPr>
            <w:r/>
            <w:r>
              <w:rPr>
                <w:rFonts w:ascii="Aptos" w:hAnsi="Aptos"/>
                <w:b/>
                <w:i w:val="0"/>
                <w:color w:val="FFFFFF"/>
                <w:sz w:val="14"/>
              </w:rPr>
              <w:t>LENS</w:t>
            </w:r>
          </w:p>
        </w:tc>
        <w:tc>
          <w:tcPr>
            <w:tcW w:type="dxa" w:w="3571"/>
            <w:shd w:fill="071E41" w:val="clear"/>
            <w:tcMar>
              <w:top w:w="75" w:type="dxa"/>
              <w:start w:w="90" w:type="dxa"/>
              <w:bottom w:w="75" w:type="dxa"/>
              <w:end w:w="90" w:type="dxa"/>
            </w:tcMar>
          </w:tcPr>
          <w:p>
            <w:pPr>
              <w:spacing w:before="0" w:after="0"/>
            </w:pPr>
            <w:r/>
            <w:r>
              <w:rPr>
                <w:rFonts w:ascii="Aptos" w:hAnsi="Aptos"/>
                <w:b/>
                <w:i w:val="0"/>
                <w:color w:val="FFFFFF"/>
                <w:sz w:val="14"/>
              </w:rPr>
              <w:t>WHAT IT TESTS</w:t>
            </w:r>
          </w:p>
        </w:tc>
        <w:tc>
          <w:tcPr>
            <w:tcW w:type="dxa" w:w="4449"/>
            <w:shd w:fill="071E41" w:val="clear"/>
            <w:tcMar>
              <w:top w:w="75" w:type="dxa"/>
              <w:start w:w="90" w:type="dxa"/>
              <w:bottom w:w="75" w:type="dxa"/>
              <w:end w:w="90" w:type="dxa"/>
            </w:tcMar>
          </w:tcPr>
          <w:p>
            <w:pPr>
              <w:spacing w:before="0" w:after="0"/>
            </w:pPr>
            <w:r/>
            <w:r>
              <w:rPr>
                <w:rFonts w:ascii="Aptos" w:hAnsi="Aptos"/>
                <w:b/>
                <w:i w:val="0"/>
                <w:color w:val="FFFFFF"/>
                <w:sz w:val="14"/>
              </w:rPr>
              <w:t>FOUNDER EVIDENCE TO HAVE READY</w:t>
            </w:r>
          </w:p>
        </w:tc>
      </w:tr>
      <w:tr>
        <w:trPr>
          <w:cantSplit/>
        </w:trPr>
        <w:tc>
          <w:tcPr>
            <w:tcW w:type="dxa" w:w="2232"/>
            <w:shd w:fill="FFFFFF" w:val="clear"/>
            <w:tcBorders>
              <w:bottom w:val="single" w:sz="3" w:color="D7DEE8"/>
            </w:tcBorders>
            <w:tcMar>
              <w:top w:w="90" w:type="dxa"/>
              <w:start w:w="90" w:type="dxa"/>
              <w:bottom w:w="90" w:type="dxa"/>
              <w:end w:w="90" w:type="dxa"/>
            </w:tcMar>
          </w:tcPr>
          <w:p>
            <w:pPr>
              <w:keepLines/>
              <w:spacing w:before="0" w:after="0" w:line="240" w:lineRule="auto"/>
            </w:pPr>
            <w:r/>
            <w:r>
              <w:rPr>
                <w:rFonts w:ascii="Aptos" w:hAnsi="Aptos"/>
                <w:b/>
                <w:i w:val="0"/>
                <w:color w:val="0B2D57"/>
                <w:sz w:val="16"/>
              </w:rPr>
              <w:t>Product + capability</w:t>
            </w:r>
          </w:p>
        </w:tc>
        <w:tc>
          <w:tcPr>
            <w:tcW w:type="dxa" w:w="3571"/>
            <w:shd w:fill="FFFFFF" w:val="clear"/>
            <w:tcBorders>
              <w:bottom w:val="single" w:sz="3" w:color="D7DEE8"/>
            </w:tcBorders>
            <w:tcMar>
              <w:top w:w="90" w:type="dxa"/>
              <w:start w:w="90" w:type="dxa"/>
              <w:bottom w:w="90" w:type="dxa"/>
              <w:end w:w="90" w:type="dxa"/>
            </w:tcMar>
          </w:tcPr>
          <w:p>
            <w:pPr>
              <w:keepLines/>
              <w:spacing w:before="0" w:after="0" w:line="240" w:lineRule="auto"/>
            </w:pPr>
            <w:r/>
            <w:r>
              <w:rPr>
                <w:rFonts w:ascii="Aptos" w:hAnsi="Aptos"/>
                <w:b w:val="0"/>
                <w:i w:val="0"/>
                <w:color w:val="1E2730"/>
                <w:sz w:val="16"/>
              </w:rPr>
              <w:t>Can the partner make, fill, pack, store, or ship the actual product in the needed format and condition?</w:t>
            </w:r>
          </w:p>
        </w:tc>
        <w:tc>
          <w:tcPr>
            <w:tcW w:type="dxa" w:w="4449"/>
            <w:shd w:fill="FFFFFF" w:val="clear"/>
            <w:tcBorders>
              <w:bottom w:val="single" w:sz="3" w:color="D7DEE8"/>
            </w:tcBorders>
            <w:tcMar>
              <w:top w:w="90" w:type="dxa"/>
              <w:start w:w="90" w:type="dxa"/>
              <w:bottom w:w="90" w:type="dxa"/>
              <w:end w:w="90" w:type="dxa"/>
            </w:tcMar>
          </w:tcPr>
          <w:p>
            <w:pPr>
              <w:keepLines/>
              <w:spacing w:before="0" w:after="0" w:line="240" w:lineRule="auto"/>
            </w:pPr>
            <w:r/>
            <w:r>
              <w:rPr>
                <w:rFonts w:ascii="Aptos" w:hAnsi="Aptos"/>
                <w:b w:val="0"/>
                <w:i w:val="0"/>
                <w:color w:val="1E2730"/>
                <w:sz w:val="16"/>
              </w:rPr>
              <w:t>Formula/specification, materials and claims constraints, dimensions/weights, channel requirements, lot/expiry needs.</w:t>
            </w:r>
          </w:p>
        </w:tc>
      </w:tr>
      <w:tr>
        <w:trPr>
          <w:cantSplit/>
        </w:trPr>
        <w:tc>
          <w:tcPr>
            <w:tcW w:type="dxa" w:w="2232"/>
            <w:shd w:fill="F5F8FC" w:val="clear"/>
            <w:tcBorders>
              <w:bottom w:val="single" w:sz="3" w:color="D7DEE8"/>
            </w:tcBorders>
            <w:tcMar>
              <w:top w:w="90" w:type="dxa"/>
              <w:start w:w="90" w:type="dxa"/>
              <w:bottom w:w="90" w:type="dxa"/>
              <w:end w:w="90" w:type="dxa"/>
            </w:tcMar>
          </w:tcPr>
          <w:p>
            <w:pPr>
              <w:keepLines/>
              <w:spacing w:before="0" w:after="0" w:line="240" w:lineRule="auto"/>
            </w:pPr>
            <w:r/>
            <w:r>
              <w:rPr>
                <w:rFonts w:ascii="Aptos" w:hAnsi="Aptos"/>
                <w:b/>
                <w:i w:val="0"/>
                <w:color w:val="0B2D57"/>
                <w:sz w:val="16"/>
              </w:rPr>
              <w:t>Commercial</w:t>
            </w:r>
          </w:p>
        </w:tc>
        <w:tc>
          <w:tcPr>
            <w:tcW w:type="dxa" w:w="3571"/>
            <w:shd w:fill="F5F8FC" w:val="clear"/>
            <w:tcBorders>
              <w:bottom w:val="single" w:sz="3" w:color="D7DEE8"/>
            </w:tcBorders>
            <w:tcMar>
              <w:top w:w="90" w:type="dxa"/>
              <w:start w:w="90" w:type="dxa"/>
              <w:bottom w:w="90" w:type="dxa"/>
              <w:end w:w="90" w:type="dxa"/>
            </w:tcMar>
          </w:tcPr>
          <w:p>
            <w:pPr>
              <w:keepLines/>
              <w:spacing w:before="0" w:after="0" w:line="240" w:lineRule="auto"/>
            </w:pPr>
            <w:r/>
            <w:r>
              <w:rPr>
                <w:rFonts w:ascii="Aptos" w:hAnsi="Aptos"/>
                <w:b w:val="0"/>
                <w:i w:val="0"/>
                <w:color w:val="1E2730"/>
                <w:sz w:val="16"/>
              </w:rPr>
              <w:t>Do MOQ, fees, lead time, payment terms, and re-order rules create a cash or inventory trap?</w:t>
            </w:r>
          </w:p>
        </w:tc>
        <w:tc>
          <w:tcPr>
            <w:tcW w:type="dxa" w:w="4449"/>
            <w:shd w:fill="F5F8FC" w:val="clear"/>
            <w:tcBorders>
              <w:bottom w:val="single" w:sz="3" w:color="D7DEE8"/>
            </w:tcBorders>
            <w:tcMar>
              <w:top w:w="90" w:type="dxa"/>
              <w:start w:w="90" w:type="dxa"/>
              <w:bottom w:w="90" w:type="dxa"/>
              <w:end w:w="90" w:type="dxa"/>
            </w:tcMar>
          </w:tcPr>
          <w:p>
            <w:pPr>
              <w:keepLines/>
              <w:spacing w:before="0" w:after="0" w:line="240" w:lineRule="auto"/>
            </w:pPr>
            <w:r/>
            <w:r>
              <w:rPr>
                <w:rFonts w:ascii="Aptos" w:hAnsi="Aptos"/>
                <w:b w:val="0"/>
                <w:i w:val="0"/>
                <w:color w:val="1E2730"/>
                <w:sz w:val="16"/>
              </w:rPr>
              <w:t>Unit economics, initial budget, working-capital plan, target margin, demand estimate, launch date.</w:t>
            </w:r>
          </w:p>
        </w:tc>
      </w:tr>
      <w:tr>
        <w:trPr>
          <w:cantSplit/>
        </w:trPr>
        <w:tc>
          <w:tcPr>
            <w:tcW w:type="dxa" w:w="2232"/>
            <w:shd w:fill="FFFFFF" w:val="clear"/>
            <w:tcBorders>
              <w:bottom w:val="single" w:sz="3" w:color="D7DEE8"/>
            </w:tcBorders>
            <w:tcMar>
              <w:top w:w="90" w:type="dxa"/>
              <w:start w:w="90" w:type="dxa"/>
              <w:bottom w:w="90" w:type="dxa"/>
              <w:end w:w="90" w:type="dxa"/>
            </w:tcMar>
          </w:tcPr>
          <w:p>
            <w:pPr>
              <w:keepLines/>
              <w:spacing w:before="0" w:after="0" w:line="240" w:lineRule="auto"/>
            </w:pPr>
            <w:r/>
            <w:r>
              <w:rPr>
                <w:rFonts w:ascii="Aptos" w:hAnsi="Aptos"/>
                <w:b/>
                <w:i w:val="0"/>
                <w:color w:val="0B2D57"/>
                <w:sz w:val="16"/>
              </w:rPr>
              <w:t>Operating</w:t>
            </w:r>
          </w:p>
        </w:tc>
        <w:tc>
          <w:tcPr>
            <w:tcW w:type="dxa" w:w="3571"/>
            <w:shd w:fill="FFFFFF" w:val="clear"/>
            <w:tcBorders>
              <w:bottom w:val="single" w:sz="3" w:color="D7DEE8"/>
            </w:tcBorders>
            <w:tcMar>
              <w:top w:w="90" w:type="dxa"/>
              <w:start w:w="90" w:type="dxa"/>
              <w:bottom w:w="90" w:type="dxa"/>
              <w:end w:w="90" w:type="dxa"/>
            </w:tcMar>
          </w:tcPr>
          <w:p>
            <w:pPr>
              <w:keepLines/>
              <w:spacing w:before="0" w:after="0" w:line="240" w:lineRule="auto"/>
            </w:pPr>
            <w:r/>
            <w:r>
              <w:rPr>
                <w:rFonts w:ascii="Aptos" w:hAnsi="Aptos"/>
                <w:b w:val="0"/>
                <w:i w:val="0"/>
                <w:color w:val="1E2730"/>
                <w:sz w:val="16"/>
              </w:rPr>
              <w:t>Can the partner support the business you run now, not an imaginary future company?</w:t>
            </w:r>
          </w:p>
        </w:tc>
        <w:tc>
          <w:tcPr>
            <w:tcW w:type="dxa" w:w="4449"/>
            <w:shd w:fill="FFFFFF" w:val="clear"/>
            <w:tcBorders>
              <w:bottom w:val="single" w:sz="3" w:color="D7DEE8"/>
            </w:tcBorders>
            <w:tcMar>
              <w:top w:w="90" w:type="dxa"/>
              <w:start w:w="90" w:type="dxa"/>
              <w:bottom w:w="90" w:type="dxa"/>
              <w:end w:w="90" w:type="dxa"/>
            </w:tcMar>
          </w:tcPr>
          <w:p>
            <w:pPr>
              <w:keepLines/>
              <w:spacing w:before="0" w:after="0" w:line="240" w:lineRule="auto"/>
            </w:pPr>
            <w:r/>
            <w:r>
              <w:rPr>
                <w:rFonts w:ascii="Aptos" w:hAnsi="Aptos"/>
                <w:b w:val="0"/>
                <w:i w:val="0"/>
                <w:color w:val="1E2730"/>
                <w:sz w:val="16"/>
              </w:rPr>
              <w:t>SKU count, order profile, packout, receiving, shipping channels, returns, labor and owner capacity.</w:t>
            </w:r>
          </w:p>
        </w:tc>
      </w:tr>
      <w:tr>
        <w:trPr>
          <w:cantSplit/>
        </w:trPr>
        <w:tc>
          <w:tcPr>
            <w:tcW w:type="dxa" w:w="2232"/>
            <w:shd w:fill="F5F8FC" w:val="clear"/>
            <w:tcBorders>
              <w:bottom w:val="single" w:sz="3" w:color="D7DEE8"/>
            </w:tcBorders>
            <w:tcMar>
              <w:top w:w="90" w:type="dxa"/>
              <w:start w:w="90" w:type="dxa"/>
              <w:bottom w:w="90" w:type="dxa"/>
              <w:end w:w="90" w:type="dxa"/>
            </w:tcMar>
          </w:tcPr>
          <w:p>
            <w:pPr>
              <w:keepLines/>
              <w:spacing w:before="0" w:after="0" w:line="240" w:lineRule="auto"/>
            </w:pPr>
            <w:r/>
            <w:r>
              <w:rPr>
                <w:rFonts w:ascii="Aptos" w:hAnsi="Aptos"/>
                <w:b/>
                <w:i w:val="0"/>
                <w:color w:val="0B2D57"/>
                <w:sz w:val="16"/>
              </w:rPr>
              <w:t>Scale</w:t>
            </w:r>
          </w:p>
        </w:tc>
        <w:tc>
          <w:tcPr>
            <w:tcW w:type="dxa" w:w="3571"/>
            <w:shd w:fill="F5F8FC" w:val="clear"/>
            <w:tcBorders>
              <w:bottom w:val="single" w:sz="3" w:color="D7DEE8"/>
            </w:tcBorders>
            <w:tcMar>
              <w:top w:w="90" w:type="dxa"/>
              <w:start w:w="90" w:type="dxa"/>
              <w:bottom w:w="90" w:type="dxa"/>
              <w:end w:w="90" w:type="dxa"/>
            </w:tcMar>
          </w:tcPr>
          <w:p>
            <w:pPr>
              <w:keepLines/>
              <w:spacing w:before="0" w:after="0" w:line="240" w:lineRule="auto"/>
            </w:pPr>
            <w:r/>
            <w:r>
              <w:rPr>
                <w:rFonts w:ascii="Aptos" w:hAnsi="Aptos"/>
                <w:b w:val="0"/>
                <w:i w:val="0"/>
                <w:color w:val="1E2730"/>
                <w:sz w:val="16"/>
              </w:rPr>
              <w:t>Can the relationship grow with the brand - or is there a known handoff point?</w:t>
            </w:r>
          </w:p>
        </w:tc>
        <w:tc>
          <w:tcPr>
            <w:tcW w:type="dxa" w:w="4449"/>
            <w:shd w:fill="F5F8FC" w:val="clear"/>
            <w:tcBorders>
              <w:bottom w:val="single" w:sz="3" w:color="D7DEE8"/>
            </w:tcBorders>
            <w:tcMar>
              <w:top w:w="90" w:type="dxa"/>
              <w:start w:w="90" w:type="dxa"/>
              <w:bottom w:w="90" w:type="dxa"/>
              <w:end w:w="90" w:type="dxa"/>
            </w:tcMar>
          </w:tcPr>
          <w:p>
            <w:pPr>
              <w:keepLines/>
              <w:spacing w:before="0" w:after="0" w:line="240" w:lineRule="auto"/>
            </w:pPr>
            <w:r/>
            <w:r>
              <w:rPr>
                <w:rFonts w:ascii="Aptos" w:hAnsi="Aptos"/>
                <w:b w:val="0"/>
                <w:i w:val="0"/>
                <w:color w:val="1E2730"/>
                <w:sz w:val="16"/>
              </w:rPr>
              <w:t>90-day/12-month forecast, channel milestones, assortment plan, risk and contingency plan.</w:t>
            </w:r>
          </w:p>
        </w:tc>
      </w:tr>
    </w:tbl>
    <w:p>
      <w:pPr>
        <w:widowControl/>
        <w:spacing w:after="60"/>
      </w:pPr>
    </w:p>
    <w:tbl>
      <w:tblPr>
        <w:tblW w:type="auto" w:w="0"/>
        <w:jc w:val="center"/>
        <w:tblLayout w:type="fixed"/>
        <w:tblLook w:firstColumn="1" w:firstRow="1" w:lastColumn="0" w:lastRow="0" w:noHBand="0" w:noVBand="1" w:val="04A0"/>
      </w:tblPr>
      <w:tblGrid>
        <w:gridCol w:w="10252"/>
      </w:tblGrid>
      <w:tr>
        <w:tc>
          <w:tcPr>
            <w:tcW w:type="dxa" w:w="10252"/>
            <w:shd w:fill="FFF5E7" w:val="clear"/>
            <w:tcBorders>
              <w:top w:val="single" w:sz="10" w:color="C89B2C"/>
              <w:left w:val="single" w:sz="10" w:color="C89B2C"/>
              <w:bottom w:val="single" w:sz="10" w:color="C89B2C"/>
              <w:right w:val="single" w:sz="10" w:color="C89B2C"/>
            </w:tcBorders>
            <w:tcMar>
              <w:top w:w="110" w:type="dxa"/>
              <w:start w:w="130" w:type="dxa"/>
              <w:bottom w:w="110" w:type="dxa"/>
              <w:end w:w="130" w:type="dxa"/>
            </w:tcMar>
          </w:tcPr>
          <w:p>
            <w:pPr>
              <w:keepLines/>
              <w:spacing w:before="0" w:after="40"/>
            </w:pPr>
            <w:r/>
            <w:r>
              <w:rPr>
                <w:rFonts w:ascii="Aptos" w:hAnsi="Aptos"/>
                <w:b/>
                <w:i w:val="0"/>
                <w:color w:val="C89B2C"/>
                <w:sz w:val="16"/>
              </w:rPr>
              <w:t>DIRECT-CONTACT POLICY</w:t>
            </w:r>
          </w:p>
          <w:p>
            <w:pPr>
              <w:keepLines/>
              <w:spacing w:before="0" w:after="0" w:line="247" w:lineRule="auto"/>
            </w:pPr>
            <w:r>
              <w:rPr>
                <w:rFonts w:ascii="Aptos" w:hAnsi="Aptos"/>
                <w:b w:val="0"/>
                <w:i w:val="0"/>
                <w:color w:val="1E2730"/>
                <w:sz w:val="17"/>
              </w:rPr>
              <w:t>This resource does not invent personal names. A named lead is included only when the company publicly identifies that person in a relevant new-project, business-development, client-relationship, or operations role. Otherwise, the directory provides the verified inbound route and clearly labels the gap.</w:t>
            </w:r>
          </w:p>
        </w:tc>
      </w:tr>
    </w:tbl>
    <w:p>
      <w:pPr>
        <w:widowControl/>
        <w:spacing w:after="40"/>
      </w:pPr>
    </w:p>
    <w:p>
      <w:pPr>
        <w:widowControl/>
      </w:pPr>
      <w:r>
        <w:br w:type="page"/>
      </w:r>
    </w:p>
    <w:p>
      <w:pPr>
        <w:keepNext/>
        <w:widowControl/>
        <w:spacing w:before="0" w:after="60"/>
      </w:pPr>
      <w:r>
        <w:rPr>
          <w:rFonts w:ascii="Aptos" w:hAnsi="Aptos"/>
          <w:b/>
          <w:i w:val="0"/>
          <w:color w:val="3978D7"/>
          <w:sz w:val="16"/>
        </w:rPr>
        <w:t>03 | READINESS BEFORE OUTREACH</w:t>
      </w:r>
    </w:p>
    <w:p>
      <w:pPr>
        <w:keepNext/>
        <w:widowControl/>
        <w:spacing w:before="0" w:after="80"/>
      </w:pPr>
      <w:r>
        <w:rPr>
          <w:rFonts w:ascii="Aptos Display" w:hAnsi="Aptos Display"/>
          <w:b/>
          <w:i w:val="0"/>
          <w:color w:val="071E41"/>
          <w:sz w:val="40"/>
        </w:rPr>
        <w:t>Founder Readiness + Selection Map</w:t>
      </w:r>
    </w:p>
    <w:p>
      <w:pPr>
        <w:keepNext/>
        <w:widowControl/>
        <w:spacing w:before="0" w:after="200" w:line="252" w:lineRule="auto"/>
      </w:pPr>
      <w:r>
        <w:rPr>
          <w:rFonts w:ascii="Aptos" w:hAnsi="Aptos"/>
          <w:b w:val="0"/>
          <w:i w:val="0"/>
          <w:color w:val="4B5563"/>
          <w:sz w:val="17"/>
        </w:rPr>
        <w:t>Choose the smallest credible partner path for the work in front of you. Scaling capacity before demand is validated is usually more expensive than founders expect.</w:t>
      </w:r>
    </w:p>
    <w:tbl>
      <w:tblPr>
        <w:tblW w:type="auto" w:w="0"/>
        <w:jc w:val="center"/>
        <w:tblLayout w:type="fixed"/>
        <w:tblLook w:firstColumn="1" w:firstRow="1" w:lastColumn="0" w:lastRow="0" w:noHBand="0" w:noVBand="1" w:val="04A0"/>
      </w:tblPr>
      <w:tblGrid>
        <w:gridCol w:w="2050"/>
        <w:gridCol w:w="2050"/>
        <w:gridCol w:w="2050"/>
        <w:gridCol w:w="2050"/>
        <w:gridCol w:w="2050"/>
      </w:tblGrid>
      <w:tr>
        <w:trPr>
          <w:tblHeader w:val="true"/>
        </w:trPr>
        <w:tc>
          <w:tcPr>
            <w:tcW w:type="dxa" w:w="1555"/>
            <w:shd w:fill="071E41" w:val="clear"/>
            <w:tcMar>
              <w:top w:w="75" w:type="dxa"/>
              <w:start w:w="75" w:type="dxa"/>
              <w:bottom w:w="75" w:type="dxa"/>
              <w:end w:w="75" w:type="dxa"/>
            </w:tcMar>
          </w:tcPr>
          <w:p>
            <w:pPr>
              <w:spacing w:before="0" w:after="0"/>
            </w:pPr>
            <w:r/>
            <w:r>
              <w:rPr>
                <w:rFonts w:ascii="Aptos" w:hAnsi="Aptos"/>
                <w:b/>
                <w:i w:val="0"/>
                <w:color w:val="FFFFFF"/>
                <w:sz w:val="13"/>
              </w:rPr>
              <w:t>FOUNDER STAGE</w:t>
            </w:r>
          </w:p>
        </w:tc>
        <w:tc>
          <w:tcPr>
            <w:tcW w:type="dxa" w:w="2376"/>
            <w:shd w:fill="071E41" w:val="clear"/>
            <w:tcMar>
              <w:top w:w="75" w:type="dxa"/>
              <w:start w:w="75" w:type="dxa"/>
              <w:bottom w:w="75" w:type="dxa"/>
              <w:end w:w="75" w:type="dxa"/>
            </w:tcMar>
          </w:tcPr>
          <w:p>
            <w:pPr>
              <w:spacing w:before="0" w:after="0"/>
            </w:pPr>
            <w:r/>
            <w:r>
              <w:rPr>
                <w:rFonts w:ascii="Aptos" w:hAnsi="Aptos"/>
                <w:b/>
                <w:i w:val="0"/>
                <w:color w:val="FFFFFF"/>
                <w:sz w:val="13"/>
              </w:rPr>
              <w:t>MANUFACTURING / SOURCING</w:t>
            </w:r>
          </w:p>
        </w:tc>
        <w:tc>
          <w:tcPr>
            <w:tcW w:type="dxa" w:w="2088"/>
            <w:shd w:fill="071E41" w:val="clear"/>
            <w:tcMar>
              <w:top w:w="75" w:type="dxa"/>
              <w:start w:w="75" w:type="dxa"/>
              <w:bottom w:w="75" w:type="dxa"/>
              <w:end w:w="75" w:type="dxa"/>
            </w:tcMar>
          </w:tcPr>
          <w:p>
            <w:pPr>
              <w:spacing w:before="0" w:after="0"/>
            </w:pPr>
            <w:r/>
            <w:r>
              <w:rPr>
                <w:rFonts w:ascii="Aptos" w:hAnsi="Aptos"/>
                <w:b/>
                <w:i w:val="0"/>
                <w:color w:val="FFFFFF"/>
                <w:sz w:val="13"/>
              </w:rPr>
              <w:t>PACKAGING</w:t>
            </w:r>
          </w:p>
        </w:tc>
        <w:tc>
          <w:tcPr>
            <w:tcW w:type="dxa" w:w="2232"/>
            <w:shd w:fill="071E41" w:val="clear"/>
            <w:tcMar>
              <w:top w:w="75" w:type="dxa"/>
              <w:start w:w="75" w:type="dxa"/>
              <w:bottom w:w="75" w:type="dxa"/>
              <w:end w:w="75" w:type="dxa"/>
            </w:tcMar>
          </w:tcPr>
          <w:p>
            <w:pPr>
              <w:spacing w:before="0" w:after="0"/>
            </w:pPr>
            <w:r/>
            <w:r>
              <w:rPr>
                <w:rFonts w:ascii="Aptos" w:hAnsi="Aptos"/>
                <w:b/>
                <w:i w:val="0"/>
                <w:color w:val="FFFFFF"/>
                <w:sz w:val="13"/>
              </w:rPr>
              <w:t>FULFILLMENT / SPACE</w:t>
            </w:r>
          </w:p>
        </w:tc>
        <w:tc>
          <w:tcPr>
            <w:tcW w:type="dxa" w:w="2001"/>
            <w:shd w:fill="071E41" w:val="clear"/>
            <w:tcMar>
              <w:top w:w="75" w:type="dxa"/>
              <w:start w:w="75" w:type="dxa"/>
              <w:bottom w:w="75" w:type="dxa"/>
              <w:end w:w="75" w:type="dxa"/>
            </w:tcMar>
          </w:tcPr>
          <w:p>
            <w:pPr>
              <w:spacing w:before="0" w:after="0"/>
            </w:pPr>
            <w:r/>
            <w:r>
              <w:rPr>
                <w:rFonts w:ascii="Aptos" w:hAnsi="Aptos"/>
                <w:b/>
                <w:i w:val="0"/>
                <w:color w:val="FFFFFF"/>
                <w:sz w:val="13"/>
              </w:rPr>
              <w:t>DO NOT PROCEED YET IF...</w:t>
            </w:r>
          </w:p>
        </w:tc>
      </w:tr>
      <w:tr>
        <w:trPr>
          <w:cantSplit/>
        </w:trPr>
        <w:tc>
          <w:tcPr>
            <w:tcW w:type="dxa" w:w="1555"/>
            <w:shd w:fill="EFF5FF"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i w:val="0"/>
                <w:color w:val="0B2D57"/>
                <w:sz w:val="14"/>
              </w:rPr>
              <w:t>Concept / prototype</w:t>
            </w:r>
          </w:p>
        </w:tc>
        <w:tc>
          <w:tcPr>
            <w:tcW w:type="dxa" w:w="2376"/>
            <w:shd w:fill="FFFFFF"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val="0"/>
                <w:i w:val="0"/>
                <w:color w:val="1E2730"/>
                <w:sz w:val="14"/>
              </w:rPr>
              <w:t>Use development, samples, formula feasibility, test-kitchen, or maker support - not a full production contract.</w:t>
            </w:r>
          </w:p>
        </w:tc>
        <w:tc>
          <w:tcPr>
            <w:tcW w:type="dxa" w:w="2088"/>
            <w:shd w:fill="FFFFFF"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val="0"/>
                <w:i w:val="0"/>
                <w:color w:val="1E2730"/>
                <w:sz w:val="14"/>
              </w:rPr>
              <w:t>Use stock/mock packaging or short-run structural validation.</w:t>
            </w:r>
          </w:p>
        </w:tc>
        <w:tc>
          <w:tcPr>
            <w:tcW w:type="dxa" w:w="2232"/>
            <w:shd w:fill="FFFFFF"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val="0"/>
                <w:i w:val="0"/>
                <w:color w:val="1E2730"/>
                <w:sz w:val="14"/>
              </w:rPr>
              <w:t>Self-fulfill or use minimal storage while order volume is unknown.</w:t>
            </w:r>
          </w:p>
        </w:tc>
        <w:tc>
          <w:tcPr>
            <w:tcW w:type="dxa" w:w="2001"/>
            <w:shd w:fill="FFFFFF"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val="0"/>
                <w:i w:val="0"/>
                <w:color w:val="1E2730"/>
                <w:sz w:val="14"/>
              </w:rPr>
              <w:t>There is no product spec, demand hypothesis, cost target, or cash plan.</w:t>
            </w:r>
          </w:p>
        </w:tc>
      </w:tr>
      <w:tr>
        <w:trPr>
          <w:cantSplit/>
        </w:trPr>
        <w:tc>
          <w:tcPr>
            <w:tcW w:type="dxa" w:w="1555"/>
            <w:shd w:fill="EFF5FF"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i w:val="0"/>
                <w:color w:val="0B2D57"/>
                <w:sz w:val="14"/>
              </w:rPr>
              <w:t>Market test / first launch</w:t>
            </w:r>
          </w:p>
        </w:tc>
        <w:tc>
          <w:tcPr>
            <w:tcW w:type="dxa" w:w="2376"/>
            <w:shd w:fill="F5F8FC"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val="0"/>
                <w:i w:val="0"/>
                <w:color w:val="1E2730"/>
                <w:sz w:val="14"/>
              </w:rPr>
              <w:t>Choose low-MOQ/private-label, ultra-short-run, small-batch, or first commercial batch.</w:t>
            </w:r>
          </w:p>
        </w:tc>
        <w:tc>
          <w:tcPr>
            <w:tcW w:type="dxa" w:w="2088"/>
            <w:shd w:fill="F5F8FC"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val="0"/>
                <w:i w:val="0"/>
                <w:color w:val="1E2730"/>
                <w:sz w:val="14"/>
              </w:rPr>
              <w:t>Use compliant stock packaging, labels, short-run boxes, or early retail-ready packaging as needed.</w:t>
            </w:r>
          </w:p>
        </w:tc>
        <w:tc>
          <w:tcPr>
            <w:tcW w:type="dxa" w:w="2232"/>
            <w:shd w:fill="F5F8FC"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val="0"/>
                <w:i w:val="0"/>
                <w:color w:val="1E2730"/>
                <w:sz w:val="14"/>
              </w:rPr>
              <w:t>Use founder-led fulfillment, flex space, or a no-minimum 3PL if time/space is the constraint.</w:t>
            </w:r>
          </w:p>
        </w:tc>
        <w:tc>
          <w:tcPr>
            <w:tcW w:type="dxa" w:w="2001"/>
            <w:shd w:fill="F5F8FC"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val="0"/>
                <w:i w:val="0"/>
                <w:color w:val="1E2730"/>
                <w:sz w:val="14"/>
              </w:rPr>
              <w:t>The founder cannot explain consumer, units, channels, unit economics, or launch date.</w:t>
            </w:r>
          </w:p>
        </w:tc>
      </w:tr>
      <w:tr>
        <w:trPr>
          <w:cantSplit/>
        </w:trPr>
        <w:tc>
          <w:tcPr>
            <w:tcW w:type="dxa" w:w="1555"/>
            <w:shd w:fill="EFF5FF"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i w:val="0"/>
                <w:color w:val="0B2D57"/>
                <w:sz w:val="14"/>
              </w:rPr>
              <w:t>Early repeatability</w:t>
            </w:r>
          </w:p>
        </w:tc>
        <w:tc>
          <w:tcPr>
            <w:tcW w:type="dxa" w:w="2376"/>
            <w:shd w:fill="FFFFFF"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val="0"/>
                <w:i w:val="0"/>
                <w:color w:val="1E2730"/>
                <w:sz w:val="14"/>
              </w:rPr>
              <w:t>Move to a partner that can meet repeat quality, basic inventory, and re-order needs.</w:t>
            </w:r>
          </w:p>
        </w:tc>
        <w:tc>
          <w:tcPr>
            <w:tcW w:type="dxa" w:w="2088"/>
            <w:shd w:fill="FFFFFF"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val="0"/>
                <w:i w:val="0"/>
                <w:color w:val="1E2730"/>
                <w:sz w:val="14"/>
              </w:rPr>
              <w:t>Improve protection, shelf presentation, barcodes, and cost per unit.</w:t>
            </w:r>
          </w:p>
        </w:tc>
        <w:tc>
          <w:tcPr>
            <w:tcW w:type="dxa" w:w="2232"/>
            <w:shd w:fill="FFFFFF"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val="0"/>
                <w:i w:val="0"/>
                <w:color w:val="1E2730"/>
                <w:sz w:val="14"/>
              </w:rPr>
              <w:t>Use 3PL when order cadence/complexity consumes founder time; use flex warehouse only when it is operationally logical.</w:t>
            </w:r>
          </w:p>
        </w:tc>
        <w:tc>
          <w:tcPr>
            <w:tcW w:type="dxa" w:w="2001"/>
            <w:shd w:fill="FFFFFF"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val="0"/>
                <w:i w:val="0"/>
                <w:color w:val="1E2730"/>
                <w:sz w:val="14"/>
              </w:rPr>
              <w:t>Demand data is entirely assumed and no re-order/cash plan exists.</w:t>
            </w:r>
          </w:p>
        </w:tc>
      </w:tr>
      <w:tr>
        <w:trPr>
          <w:cantSplit/>
        </w:trPr>
        <w:tc>
          <w:tcPr>
            <w:tcW w:type="dxa" w:w="1555"/>
            <w:shd w:fill="EFF5FF"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i w:val="0"/>
                <w:color w:val="0B2D57"/>
                <w:sz w:val="14"/>
              </w:rPr>
              <w:t>Regional / retail expansion</w:t>
            </w:r>
          </w:p>
        </w:tc>
        <w:tc>
          <w:tcPr>
            <w:tcW w:type="dxa" w:w="2376"/>
            <w:shd w:fill="F5F8FC"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val="0"/>
                <w:i w:val="0"/>
                <w:color w:val="1E2730"/>
                <w:sz w:val="14"/>
              </w:rPr>
              <w:t>Secure capacity, quality documentation, service levels, lead-time discipline, case/pallet/EDI requirements.</w:t>
            </w:r>
          </w:p>
        </w:tc>
        <w:tc>
          <w:tcPr>
            <w:tcW w:type="dxa" w:w="2088"/>
            <w:shd w:fill="F5F8FC"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val="0"/>
                <w:i w:val="0"/>
                <w:color w:val="1E2730"/>
                <w:sz w:val="14"/>
              </w:rPr>
              <w:t>Lock retail-ready secondary packaging, cases, displays, and damage performance.</w:t>
            </w:r>
          </w:p>
        </w:tc>
        <w:tc>
          <w:tcPr>
            <w:tcW w:type="dxa" w:w="2232"/>
            <w:shd w:fill="F5F8FC"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val="0"/>
                <w:i w:val="0"/>
                <w:color w:val="1E2730"/>
                <w:sz w:val="14"/>
              </w:rPr>
              <w:t>Choose retail/wholesale-capable 3PL or warehouse workflow with receiving, compliance, and reporting.</w:t>
            </w:r>
          </w:p>
        </w:tc>
        <w:tc>
          <w:tcPr>
            <w:tcW w:type="dxa" w:w="2001"/>
            <w:shd w:fill="F5F8FC"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val="0"/>
                <w:i w:val="0"/>
                <w:color w:val="1E2730"/>
                <w:sz w:val="14"/>
              </w:rPr>
              <w:t>Product, label, carton, case pack, and forecast are not retail-ready.</w:t>
            </w:r>
          </w:p>
        </w:tc>
      </w:tr>
      <w:tr>
        <w:trPr>
          <w:cantSplit/>
        </w:trPr>
        <w:tc>
          <w:tcPr>
            <w:tcW w:type="dxa" w:w="1555"/>
            <w:shd w:fill="EFF5FF"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i w:val="0"/>
                <w:color w:val="0B2D57"/>
                <w:sz w:val="14"/>
              </w:rPr>
              <w:t>Scale / multi-channel</w:t>
            </w:r>
          </w:p>
        </w:tc>
        <w:tc>
          <w:tcPr>
            <w:tcW w:type="dxa" w:w="2376"/>
            <w:shd w:fill="FFFFFF"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val="0"/>
                <w:i w:val="0"/>
                <w:color w:val="1E2730"/>
                <w:sz w:val="14"/>
              </w:rPr>
              <w:t>Build redundancy, forecast system, supplier governance, service-level metrics, insurance, and a long-term commercial model.</w:t>
            </w:r>
          </w:p>
        </w:tc>
        <w:tc>
          <w:tcPr>
            <w:tcW w:type="dxa" w:w="2088"/>
            <w:shd w:fill="FFFFFF"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val="0"/>
                <w:i w:val="0"/>
                <w:color w:val="1E2730"/>
                <w:sz w:val="14"/>
              </w:rPr>
              <w:t>Move from short-run convenience to optimized materials, price breaks, version control, and supply continuity.</w:t>
            </w:r>
          </w:p>
        </w:tc>
        <w:tc>
          <w:tcPr>
            <w:tcW w:type="dxa" w:w="2232"/>
            <w:shd w:fill="FFFFFF"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val="0"/>
                <w:i w:val="0"/>
                <w:color w:val="1E2730"/>
                <w:sz w:val="14"/>
              </w:rPr>
              <w:t>Use multi-node/omnichannel infrastructure only when complexity and volume justify it.</w:t>
            </w:r>
          </w:p>
        </w:tc>
        <w:tc>
          <w:tcPr>
            <w:tcW w:type="dxa" w:w="2001"/>
            <w:shd w:fill="FFFFFF" w:val="clear"/>
            <w:tcBorders>
              <w:bottom w:val="single" w:sz="3" w:color="D7DEE8"/>
            </w:tcBorders>
            <w:tcMar>
              <w:top w:w="78" w:type="dxa"/>
              <w:start w:w="70" w:type="dxa"/>
              <w:bottom w:w="78" w:type="dxa"/>
              <w:end w:w="70" w:type="dxa"/>
            </w:tcMar>
          </w:tcPr>
          <w:p>
            <w:pPr>
              <w:keepLines/>
              <w:spacing w:before="0" w:after="0" w:line="230" w:lineRule="auto"/>
            </w:pPr>
            <w:r/>
            <w:r>
              <w:rPr>
                <w:rFonts w:ascii="Aptos" w:hAnsi="Aptos"/>
                <w:b w:val="0"/>
                <w:i w:val="0"/>
                <w:color w:val="1E2730"/>
                <w:sz w:val="14"/>
              </w:rPr>
              <w:t>The founder lacks forecasts, SKU data, cash discipline, or clear channel strategy.</w:t>
            </w:r>
          </w:p>
        </w:tc>
      </w:tr>
    </w:tbl>
    <w:p>
      <w:pPr>
        <w:widowControl/>
        <w:spacing w:after="60"/>
      </w:pPr>
    </w:p>
    <w:tbl>
      <w:tblPr>
        <w:tblW w:type="auto" w:w="0"/>
        <w:jc w:val="center"/>
        <w:tblLayout w:type="fixed"/>
        <w:tblLook w:firstColumn="1" w:firstRow="1" w:lastColumn="0" w:lastRow="0" w:noHBand="0" w:noVBand="1" w:val="04A0"/>
      </w:tblPr>
      <w:tblGrid>
        <w:gridCol w:w="10252"/>
      </w:tblGrid>
      <w:tr>
        <w:tc>
          <w:tcPr>
            <w:tcW w:type="dxa" w:w="10252"/>
            <w:shd w:fill="FFF5E7" w:val="clear"/>
            <w:tcBorders>
              <w:top w:val="single" w:sz="10" w:color="C89B2C"/>
              <w:left w:val="single" w:sz="10" w:color="C89B2C"/>
              <w:bottom w:val="single" w:sz="10" w:color="C89B2C"/>
              <w:right w:val="single" w:sz="10" w:color="C89B2C"/>
            </w:tcBorders>
            <w:tcMar>
              <w:top w:w="110" w:type="dxa"/>
              <w:start w:w="130" w:type="dxa"/>
              <w:bottom w:w="110" w:type="dxa"/>
              <w:end w:w="130" w:type="dxa"/>
            </w:tcMar>
          </w:tcPr>
          <w:p>
            <w:pPr>
              <w:keepLines/>
              <w:spacing w:before="0" w:after="40"/>
            </w:pPr>
            <w:r/>
            <w:r>
              <w:rPr>
                <w:rFonts w:ascii="Aptos" w:hAnsi="Aptos"/>
                <w:b/>
                <w:i w:val="0"/>
                <w:color w:val="C89B2C"/>
                <w:sz w:val="16"/>
              </w:rPr>
              <w:t>STARTING RULE</w:t>
            </w:r>
          </w:p>
          <w:p>
            <w:pPr>
              <w:keepLines/>
              <w:spacing w:before="0" w:after="0" w:line="247" w:lineRule="auto"/>
            </w:pPr>
            <w:r>
              <w:rPr>
                <w:rFonts w:ascii="Aptos" w:hAnsi="Aptos"/>
                <w:b w:val="0"/>
                <w:i w:val="0"/>
                <w:color w:val="1E2730"/>
                <w:sz w:val="17"/>
              </w:rPr>
              <w:t>The most founder-friendly supplier is not necessarily the right first supplier. Confirm whether the partner is helping you validate a product, make a first commercial run, fulfill repeat DTC demand, stage inventory, or manage retail complexity. Those are different jobs with different commercial structures.</w:t>
            </w:r>
          </w:p>
        </w:tc>
      </w:tr>
    </w:tbl>
    <w:p>
      <w:pPr>
        <w:widowControl/>
        <w:spacing w:after="40"/>
      </w:pPr>
    </w:p>
    <w:p>
      <w:pPr>
        <w:widowControl/>
      </w:pPr>
      <w:r>
        <w:br w:type="page"/>
      </w:r>
    </w:p>
    <w:p>
      <w:pPr>
        <w:keepNext/>
        <w:widowControl/>
        <w:spacing w:before="0" w:after="60"/>
      </w:pPr>
      <w:r>
        <w:rPr>
          <w:rFonts w:ascii="Aptos" w:hAnsi="Aptos"/>
          <w:b/>
          <w:i w:val="0"/>
          <w:color w:val="3978D7"/>
          <w:sz w:val="16"/>
        </w:rPr>
        <w:t>04 | DIRECTORY NAVIGATION + QUICK MATCH</w:t>
      </w:r>
    </w:p>
    <w:p>
      <w:pPr>
        <w:keepNext/>
        <w:widowControl/>
        <w:spacing w:before="0" w:after="80"/>
      </w:pPr>
      <w:r>
        <w:rPr>
          <w:rFonts w:ascii="Aptos Display" w:hAnsi="Aptos Display"/>
          <w:b/>
          <w:i w:val="0"/>
          <w:color w:val="071E41"/>
          <w:sz w:val="40"/>
        </w:rPr>
        <w:t>Find the Right Starting Route</w:t>
      </w:r>
    </w:p>
    <w:p>
      <w:pPr>
        <w:keepNext/>
        <w:widowControl/>
        <w:spacing w:before="0" w:after="200" w:line="252" w:lineRule="auto"/>
      </w:pPr>
      <w:r>
        <w:rPr>
          <w:rFonts w:ascii="Aptos" w:hAnsi="Aptos"/>
          <w:b w:val="0"/>
          <w:i w:val="0"/>
          <w:color w:val="4B5563"/>
          <w:sz w:val="17"/>
        </w:rPr>
        <w:t>The names below are organized by practical decision use, not a universal quality ranking. Use the full profile before outreach.</w:t>
      </w:r>
    </w:p>
    <w:tbl>
      <w:tblPr>
        <w:tblW w:type="auto" w:w="0"/>
        <w:jc w:val="center"/>
        <w:tblLayout w:type="fixed"/>
        <w:tblLook w:firstColumn="1" w:firstRow="1" w:lastColumn="0" w:lastRow="0" w:noHBand="0" w:noVBand="1" w:val="04A0"/>
      </w:tblPr>
      <w:tblGrid>
        <w:gridCol w:w="3417"/>
        <w:gridCol w:w="3417"/>
        <w:gridCol w:w="3417"/>
      </w:tblGrid>
      <w:tr>
        <w:tc>
          <w:tcPr>
            <w:tcW w:type="dxa" w:w="3412"/>
            <w:shd w:fill="EFF5FF" w:val="clear"/>
            <w:tcBorders>
              <w:top w:val="single" w:sz="7" w:color="3978D7"/>
              <w:left w:val="single" w:sz="4" w:color="FFFFFF"/>
              <w:bottom w:val="single" w:sz="7" w:color="3978D7"/>
              <w:right w:val="single" w:sz="4" w:color="FFFFFF"/>
            </w:tcBorders>
            <w:tcMar>
              <w:top w:w="110" w:type="dxa"/>
              <w:start w:w="100" w:type="dxa"/>
              <w:bottom w:w="110" w:type="dxa"/>
              <w:end w:w="100" w:type="dxa"/>
            </w:tcMar>
          </w:tcPr>
          <w:p>
            <w:pPr>
              <w:keepLines/>
              <w:spacing w:before="0" w:after="60"/>
            </w:pPr>
            <w:r/>
            <w:r>
              <w:rPr>
                <w:rFonts w:ascii="Aptos" w:hAnsi="Aptos"/>
                <w:b/>
                <w:i w:val="0"/>
                <w:color w:val="071E41"/>
                <w:sz w:val="15"/>
              </w:rPr>
              <w:t>BEAUTY + PERSONAL CARE</w:t>
            </w:r>
          </w:p>
          <w:p>
            <w:pPr>
              <w:keepLines/>
              <w:spacing w:before="0" w:after="0" w:line="240" w:lineRule="auto"/>
            </w:pPr>
            <w:r>
              <w:rPr>
                <w:rFonts w:ascii="Aptos" w:hAnsi="Aptos"/>
                <w:b w:val="0"/>
                <w:i w:val="0"/>
                <w:color w:val="1E2730"/>
                <w:sz w:val="16"/>
              </w:rPr>
              <w:t>Start with stock/private-label versus controlled customization versus custom formula. Do not assume “low MOQ” equals a low landed-cost launch.</w:t>
            </w:r>
          </w:p>
        </w:tc>
        <w:tc>
          <w:tcPr>
            <w:tcW w:type="dxa" w:w="3412"/>
            <w:shd w:fill="FFF5E7" w:val="clear"/>
            <w:tcBorders>
              <w:top w:val="single" w:sz="7" w:color="C89B2C"/>
              <w:left w:val="single" w:sz="4" w:color="FFFFFF"/>
              <w:bottom w:val="single" w:sz="7" w:color="C89B2C"/>
              <w:right w:val="single" w:sz="4" w:color="FFFFFF"/>
            </w:tcBorders>
            <w:tcMar>
              <w:top w:w="110" w:type="dxa"/>
              <w:start w:w="100" w:type="dxa"/>
              <w:bottom w:w="110" w:type="dxa"/>
              <w:end w:w="100" w:type="dxa"/>
            </w:tcMar>
          </w:tcPr>
          <w:p>
            <w:pPr>
              <w:keepLines/>
              <w:spacing w:before="0" w:after="60"/>
            </w:pPr>
            <w:r/>
            <w:r>
              <w:rPr>
                <w:rFonts w:ascii="Aptos" w:hAnsi="Aptos"/>
                <w:b/>
                <w:i w:val="0"/>
                <w:color w:val="071E41"/>
                <w:sz w:val="15"/>
              </w:rPr>
              <w:t>BEVERAGE + FOOD</w:t>
            </w:r>
          </w:p>
          <w:p>
            <w:pPr>
              <w:keepLines/>
              <w:spacing w:before="0" w:after="0" w:line="240" w:lineRule="auto"/>
            </w:pPr>
            <w:r>
              <w:rPr>
                <w:rFonts w:ascii="Aptos" w:hAnsi="Aptos"/>
                <w:b w:val="0"/>
                <w:i w:val="0"/>
                <w:color w:val="1E2730"/>
                <w:sz w:val="16"/>
              </w:rPr>
              <w:t>Start with formulation/recipe status, package format, process/safety needs, shelf-life path, ingredient flow, and actual first-run quantity.</w:t>
            </w:r>
          </w:p>
        </w:tc>
        <w:tc>
          <w:tcPr>
            <w:tcW w:type="dxa" w:w="3427"/>
            <w:shd w:fill="EFF5FF" w:val="clear"/>
            <w:tcBorders>
              <w:top w:val="single" w:sz="7" w:color="3978D7"/>
              <w:left w:val="single" w:sz="4" w:color="FFFFFF"/>
              <w:bottom w:val="single" w:sz="7" w:color="3978D7"/>
              <w:right w:val="single" w:sz="4" w:color="FFFFFF"/>
            </w:tcBorders>
            <w:tcMar>
              <w:top w:w="110" w:type="dxa"/>
              <w:start w:w="100" w:type="dxa"/>
              <w:bottom w:w="110" w:type="dxa"/>
              <w:end w:w="100" w:type="dxa"/>
            </w:tcMar>
          </w:tcPr>
          <w:p>
            <w:pPr>
              <w:keepLines/>
              <w:spacing w:before="0" w:after="60"/>
            </w:pPr>
            <w:r/>
            <w:r>
              <w:rPr>
                <w:rFonts w:ascii="Aptos" w:hAnsi="Aptos"/>
                <w:b/>
                <w:i w:val="0"/>
                <w:color w:val="071E41"/>
                <w:sz w:val="15"/>
              </w:rPr>
              <w:t>FULFILLMENT + WAREHOUSE</w:t>
            </w:r>
          </w:p>
          <w:p>
            <w:pPr>
              <w:keepLines/>
              <w:spacing w:before="0" w:after="0" w:line="240" w:lineRule="auto"/>
            </w:pPr>
            <w:r>
              <w:rPr>
                <w:rFonts w:ascii="Aptos" w:hAnsi="Aptos"/>
                <w:b w:val="0"/>
                <w:i w:val="0"/>
                <w:color w:val="1E2730"/>
                <w:sz w:val="16"/>
              </w:rPr>
              <w:t>Start with the operating configuration: founder-led fulfillment, no-minimum 3PL, self-managed flex space, or an omnichannel operating layer.</w:t>
            </w:r>
          </w:p>
        </w:tc>
      </w:tr>
    </w:tbl>
    <w:p>
      <w:pPr>
        <w:widowControl/>
        <w:spacing w:after="80"/>
      </w:pPr>
    </w:p>
    <w:tbl>
      <w:tblPr>
        <w:tblW w:type="auto" w:w="0"/>
        <w:jc w:val="center"/>
        <w:tblLayout w:type="fixed"/>
        <w:tblLook w:firstColumn="1" w:firstRow="1" w:lastColumn="0" w:lastRow="0" w:noHBand="0" w:noVBand="1" w:val="04A0"/>
      </w:tblPr>
      <w:tblGrid>
        <w:gridCol w:w="3417"/>
        <w:gridCol w:w="3417"/>
        <w:gridCol w:w="3417"/>
      </w:tblGrid>
      <w:tr>
        <w:trPr>
          <w:tblHeader w:val="true"/>
        </w:trPr>
        <w:tc>
          <w:tcPr>
            <w:tcW w:type="dxa" w:w="2951"/>
            <w:shd w:fill="071E41" w:val="clear"/>
            <w:tcMar>
              <w:top w:w="75" w:type="dxa"/>
              <w:start w:w="85" w:type="dxa"/>
              <w:bottom w:w="75" w:type="dxa"/>
              <w:end w:w="85" w:type="dxa"/>
            </w:tcMar>
          </w:tcPr>
          <w:p>
            <w:pPr>
              <w:spacing w:before="0" w:after="0"/>
            </w:pPr>
            <w:r/>
            <w:r>
              <w:rPr>
                <w:rFonts w:ascii="Aptos" w:hAnsi="Aptos"/>
                <w:b/>
                <w:i w:val="0"/>
                <w:color w:val="FFFFFF"/>
                <w:sz w:val="14"/>
              </w:rPr>
              <w:t>CURRENT NEED</w:t>
            </w:r>
          </w:p>
        </w:tc>
        <w:tc>
          <w:tcPr>
            <w:tcW w:type="dxa" w:w="3384"/>
            <w:shd w:fill="071E41" w:val="clear"/>
            <w:tcMar>
              <w:top w:w="75" w:type="dxa"/>
              <w:start w:w="85" w:type="dxa"/>
              <w:bottom w:w="75" w:type="dxa"/>
              <w:end w:w="85" w:type="dxa"/>
            </w:tcMar>
          </w:tcPr>
          <w:p>
            <w:pPr>
              <w:spacing w:before="0" w:after="0"/>
            </w:pPr>
            <w:r/>
            <w:r>
              <w:rPr>
                <w:rFonts w:ascii="Aptos" w:hAnsi="Aptos"/>
                <w:b/>
                <w:i w:val="0"/>
                <w:color w:val="FFFFFF"/>
                <w:sz w:val="14"/>
              </w:rPr>
              <w:t>BEST STARTING ROUTE</w:t>
            </w:r>
          </w:p>
        </w:tc>
        <w:tc>
          <w:tcPr>
            <w:tcW w:type="dxa" w:w="3916"/>
            <w:shd w:fill="071E41" w:val="clear"/>
            <w:tcMar>
              <w:top w:w="75" w:type="dxa"/>
              <w:start w:w="85" w:type="dxa"/>
              <w:bottom w:w="75" w:type="dxa"/>
              <w:end w:w="85" w:type="dxa"/>
            </w:tcMar>
          </w:tcPr>
          <w:p>
            <w:pPr>
              <w:spacing w:before="0" w:after="0"/>
            </w:pPr>
            <w:r/>
            <w:r>
              <w:rPr>
                <w:rFonts w:ascii="Aptos" w:hAnsi="Aptos"/>
                <w:b/>
                <w:i w:val="0"/>
                <w:color w:val="FFFFFF"/>
                <w:sz w:val="14"/>
              </w:rPr>
              <w:t>COMPARE FIRST</w:t>
            </w:r>
          </w:p>
        </w:tc>
      </w:tr>
      <w:tr>
        <w:trPr>
          <w:cantSplit/>
        </w:trPr>
        <w:tc>
          <w:tcPr>
            <w:tcW w:type="dxa" w:w="2951"/>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i w:val="0"/>
                <w:color w:val="0B2D57"/>
                <w:sz w:val="15"/>
              </w:rPr>
              <w:t>Beauty / skincare startup</w:t>
            </w:r>
          </w:p>
        </w:tc>
        <w:tc>
          <w:tcPr>
            <w:tcW w:type="dxa" w:w="3384"/>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Catalog/private label or controlled customization</w:t>
            </w:r>
          </w:p>
        </w:tc>
        <w:tc>
          <w:tcPr>
            <w:tcW w:type="dxa" w:w="3916"/>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DLAB Custom Cosmetics; Compounding Cosmetics; Formyoule</w:t>
            </w:r>
          </w:p>
        </w:tc>
      </w:tr>
      <w:tr>
        <w:trPr>
          <w:cantSplit/>
        </w:trPr>
        <w:tc>
          <w:tcPr>
            <w:tcW w:type="dxa" w:w="2951"/>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i w:val="0"/>
                <w:color w:val="0B2D57"/>
                <w:sz w:val="15"/>
              </w:rPr>
              <w:t>Beauty brand with retail or larger product ambition</w:t>
            </w:r>
          </w:p>
        </w:tc>
        <w:tc>
          <w:tcPr>
            <w:tcW w:type="dxa" w:w="3384"/>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US manufacturer with expansion path</w:t>
            </w:r>
          </w:p>
        </w:tc>
        <w:tc>
          <w:tcPr>
            <w:tcW w:type="dxa" w:w="3916"/>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Tropical Labs; Compounding Cosmetics; Formyoule</w:t>
            </w:r>
          </w:p>
        </w:tc>
      </w:tr>
      <w:tr>
        <w:trPr>
          <w:cantSplit/>
        </w:trPr>
        <w:tc>
          <w:tcPr>
            <w:tcW w:type="dxa" w:w="2951"/>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i w:val="0"/>
                <w:color w:val="0B2D57"/>
                <w:sz w:val="15"/>
              </w:rPr>
              <w:t>Functional / RTD beverage test</w:t>
            </w:r>
          </w:p>
        </w:tc>
        <w:tc>
          <w:tcPr>
            <w:tcW w:type="dxa" w:w="3384"/>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Pilot co-packer / small batch</w:t>
            </w:r>
          </w:p>
        </w:tc>
        <w:tc>
          <w:tcPr>
            <w:tcW w:type="dxa" w:w="3916"/>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ProtoPackers; Craftek Beverages; Genuine Local</w:t>
            </w:r>
          </w:p>
        </w:tc>
      </w:tr>
      <w:tr>
        <w:trPr>
          <w:cantSplit/>
        </w:trPr>
        <w:tc>
          <w:tcPr>
            <w:tcW w:type="dxa" w:w="2951"/>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i w:val="0"/>
                <w:color w:val="0B2D57"/>
                <w:sz w:val="15"/>
              </w:rPr>
              <w:t>Food, sauces, condiments, dry blends</w:t>
            </w:r>
          </w:p>
        </w:tc>
        <w:tc>
          <w:tcPr>
            <w:tcW w:type="dxa" w:w="3384"/>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Category-specific small-batch co-packer</w:t>
            </w:r>
          </w:p>
        </w:tc>
        <w:tc>
          <w:tcPr>
            <w:tcW w:type="dxa" w:w="3916"/>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Vital Eats; GF Blends; Genuine Local</w:t>
            </w:r>
          </w:p>
        </w:tc>
      </w:tr>
      <w:tr>
        <w:trPr>
          <w:cantSplit/>
        </w:trPr>
        <w:tc>
          <w:tcPr>
            <w:tcW w:type="dxa" w:w="2951"/>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i w:val="0"/>
                <w:color w:val="0B2D57"/>
                <w:sz w:val="15"/>
              </w:rPr>
              <w:t>DTC orders, low monthly commitment</w:t>
            </w:r>
          </w:p>
        </w:tc>
        <w:tc>
          <w:tcPr>
            <w:tcW w:type="dxa" w:w="3384"/>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No-minimum or startup-focused 3PL</w:t>
            </w:r>
          </w:p>
        </w:tc>
        <w:tc>
          <w:tcPr>
            <w:tcW w:type="dxa" w:w="3916"/>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eFulfillment Service; OC3PL; OTW Shipping</w:t>
            </w:r>
          </w:p>
        </w:tc>
      </w:tr>
      <w:tr>
        <w:trPr>
          <w:cantSplit/>
        </w:trPr>
        <w:tc>
          <w:tcPr>
            <w:tcW w:type="dxa" w:w="2951"/>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i w:val="0"/>
                <w:color w:val="0B2D57"/>
                <w:sz w:val="15"/>
              </w:rPr>
              <w:t>Self-managed inventory or local pack/ship</w:t>
            </w:r>
          </w:p>
        </w:tc>
        <w:tc>
          <w:tcPr>
            <w:tcW w:type="dxa" w:w="3384"/>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Co-warehousing / flex warehouse</w:t>
            </w:r>
          </w:p>
        </w:tc>
        <w:tc>
          <w:tcPr>
            <w:tcW w:type="dxa" w:w="3916"/>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Saltbox; ReadySpaces; Loloft; Cubework</w:t>
            </w:r>
          </w:p>
        </w:tc>
      </w:tr>
      <w:tr>
        <w:trPr>
          <w:cantSplit/>
        </w:trPr>
        <w:tc>
          <w:tcPr>
            <w:tcW w:type="dxa" w:w="2951"/>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i w:val="0"/>
                <w:color w:val="0B2D57"/>
                <w:sz w:val="15"/>
              </w:rPr>
              <w:t>Launch packaging, subscription, giftable product</w:t>
            </w:r>
          </w:p>
        </w:tc>
        <w:tc>
          <w:tcPr>
            <w:tcW w:type="dxa" w:w="3384"/>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Short-turn custom packaging</w:t>
            </w:r>
          </w:p>
        </w:tc>
        <w:tc>
          <w:tcPr>
            <w:tcW w:type="dxa" w:w="3916"/>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Packlane; Refine Packaging; Empress Packaging</w:t>
            </w:r>
          </w:p>
        </w:tc>
      </w:tr>
      <w:tr>
        <w:trPr>
          <w:cantSplit/>
        </w:trPr>
        <w:tc>
          <w:tcPr>
            <w:tcW w:type="dxa" w:w="2951"/>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i w:val="0"/>
                <w:color w:val="0B2D57"/>
                <w:sz w:val="15"/>
              </w:rPr>
              <w:t>Retail boxes, structural packaging, global-source economics</w:t>
            </w:r>
          </w:p>
        </w:tc>
        <w:tc>
          <w:tcPr>
            <w:tcW w:type="dxa" w:w="3384"/>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Custom packaging / structural design</w:t>
            </w:r>
          </w:p>
        </w:tc>
        <w:tc>
          <w:tcPr>
            <w:tcW w:type="dxa" w:w="3916"/>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PakFactory; PackMojo; Refine Packaging</w:t>
            </w:r>
          </w:p>
        </w:tc>
      </w:tr>
    </w:tbl>
    <w:p>
      <w:pPr>
        <w:widowControl/>
        <w:spacing w:after="60"/>
      </w:pPr>
    </w:p>
    <w:tbl>
      <w:tblPr>
        <w:tblW w:type="auto" w:w="0"/>
        <w:jc w:val="center"/>
        <w:tblLayout w:type="fixed"/>
        <w:tblLook w:firstColumn="1" w:firstRow="1" w:lastColumn="0" w:lastRow="0" w:noHBand="0" w:noVBand="1" w:val="04A0"/>
      </w:tblPr>
      <w:tblGrid>
        <w:gridCol w:w="10252"/>
      </w:tblGrid>
      <w:tr>
        <w:tc>
          <w:tcPr>
            <w:tcW w:type="dxa" w:w="10252"/>
            <w:shd w:fill="EFF5FF" w:val="clear"/>
            <w:tcBorders>
              <w:top w:val="single" w:sz="10" w:color="3978D7"/>
              <w:left w:val="single" w:sz="10" w:color="3978D7"/>
              <w:bottom w:val="single" w:sz="10" w:color="3978D7"/>
              <w:right w:val="single" w:sz="10" w:color="3978D7"/>
            </w:tcBorders>
            <w:tcMar>
              <w:top w:w="110" w:type="dxa"/>
              <w:start w:w="130" w:type="dxa"/>
              <w:bottom w:w="110" w:type="dxa"/>
              <w:end w:w="130" w:type="dxa"/>
            </w:tcMar>
          </w:tcPr>
          <w:p>
            <w:pPr>
              <w:keepLines/>
              <w:spacing w:before="0" w:after="40"/>
            </w:pPr>
            <w:r/>
            <w:r>
              <w:rPr>
                <w:rFonts w:ascii="Aptos" w:hAnsi="Aptos"/>
                <w:b/>
                <w:i w:val="0"/>
                <w:color w:val="3978D7"/>
                <w:sz w:val="16"/>
              </w:rPr>
              <w:t>DO NOT BEGIN WITH A BLIND INTRODUCTORY EMAIL</w:t>
            </w:r>
          </w:p>
          <w:p>
            <w:pPr>
              <w:keepLines/>
              <w:spacing w:before="0" w:after="0" w:line="247" w:lineRule="auto"/>
            </w:pPr>
            <w:r>
              <w:rPr>
                <w:rFonts w:ascii="Aptos" w:hAnsi="Aptos"/>
                <w:b w:val="0"/>
                <w:i w:val="0"/>
                <w:color w:val="1E2730"/>
                <w:sz w:val="17"/>
              </w:rPr>
              <w:t>Read the founder-fit statement first, then the public MOQ/timing signal, then the “arrive with” and “qualification focus” notes. A stronger founder brief gets a stronger response and preserves partner goodwill.</w:t>
            </w:r>
          </w:p>
        </w:tc>
      </w:tr>
    </w:tbl>
    <w:p>
      <w:pPr>
        <w:widowControl/>
        <w:spacing w:after="40"/>
      </w:pPr>
    </w:p>
    <w:p>
      <w:pPr>
        <w:widowControl/>
      </w:pPr>
      <w:r>
        <w:br w:type="page"/>
      </w:r>
    </w:p>
    <w:p>
      <w:pPr>
        <w:keepNext/>
        <w:widowControl/>
        <w:spacing w:before="0" w:after="60"/>
      </w:pPr>
      <w:r>
        <w:rPr>
          <w:rFonts w:ascii="Aptos" w:hAnsi="Aptos"/>
          <w:b/>
          <w:i w:val="0"/>
          <w:color w:val="3978D7"/>
          <w:sz w:val="16"/>
        </w:rPr>
        <w:t>05 | PARTNER CATEGORY</w:t>
      </w:r>
    </w:p>
    <w:p>
      <w:pPr>
        <w:keepNext/>
        <w:widowControl/>
        <w:spacing w:before="0" w:after="80"/>
      </w:pPr>
      <w:r>
        <w:rPr>
          <w:rFonts w:ascii="Aptos Display" w:hAnsi="Aptos Display"/>
          <w:b/>
          <w:i w:val="0"/>
          <w:color w:val="071E41"/>
          <w:sz w:val="40"/>
        </w:rPr>
        <w:t>Beauty + Personal Care Manufacturing</w:t>
      </w:r>
    </w:p>
    <w:p>
      <w:pPr>
        <w:keepNext/>
        <w:widowControl/>
        <w:spacing w:before="0" w:after="200" w:line="252" w:lineRule="auto"/>
      </w:pPr>
      <w:r>
        <w:rPr>
          <w:rFonts w:ascii="Aptos" w:hAnsi="Aptos"/>
          <w:b w:val="0"/>
          <w:i w:val="0"/>
          <w:color w:val="4B5563"/>
          <w:sz w:val="17"/>
        </w:rPr>
        <w:t>Research shortlists for founders evaluating cosmetic-grade product development, stock/private-label routes, controlled customization, custom formula, packaging, and compliance requirements.</w:t>
      </w:r>
    </w:p>
    <w:tbl>
      <w:tblPr>
        <w:tblW w:type="auto" w:w="0"/>
        <w:jc w:val="left"/>
        <w:tblLayout w:type="fixed"/>
        <w:tblLook w:firstColumn="1" w:firstRow="1" w:lastColumn="0" w:lastRow="0" w:noHBand="0" w:noVBand="1" w:val="04A0"/>
      </w:tblPr>
      <w:tblGrid>
        <w:gridCol w:w="10252"/>
      </w:tblGrid>
      <w:tr>
        <w:tc>
          <w:tcPr>
            <w:tcW w:type="dxa" w:w="1512"/>
            <w:shd w:fill="3978D7" w:val="clear"/>
            <w:tcMar>
              <w:top w:w="15" w:type="dxa"/>
              <w:start w:w="0" w:type="dxa"/>
              <w:bottom w:w="15" w:type="dxa"/>
              <w:end w:w="0" w:type="dxa"/>
            </w:tcMar>
          </w:tcPr>
          <w:p>
            <w:r/>
          </w:p>
        </w:tc>
      </w:tr>
    </w:tbl>
    <w:p>
      <w:pPr>
        <w:widowControl/>
        <w:spacing w:after="40"/>
      </w:pPr>
    </w:p>
    <w:tbl>
      <w:tblPr>
        <w:tblW w:type="auto" w:w="0"/>
        <w:jc w:val="center"/>
        <w:tblLayout w:type="fixed"/>
        <w:tblLook w:firstColumn="1" w:firstRow="1" w:lastColumn="0" w:lastRow="0" w:noHBand="0" w:noVBand="1" w:val="04A0"/>
      </w:tblPr>
      <w:tblGrid>
        <w:gridCol w:w="3417"/>
        <w:gridCol w:w="3417"/>
        <w:gridCol w:w="3417"/>
      </w:tblGrid>
      <w:tr>
        <w:tc>
          <w:tcPr>
            <w:tcW w:type="dxa" w:w="3417"/>
            <w:shd w:fill="EFF5FF" w:val="clear"/>
            <w:tcBorders>
              <w:top w:val="single" w:sz="7" w:color="3978D7"/>
              <w:left w:val="single" w:sz="4" w:color="FFFFFF"/>
              <w:bottom w:val="single" w:sz="7" w:color="3978D7"/>
              <w:right w:val="single" w:sz="4" w:color="FFFFFF"/>
            </w:tcBorders>
            <w:tcMar>
              <w:top w:w="100" w:type="dxa"/>
              <w:start w:w="110" w:type="dxa"/>
              <w:bottom w:w="100" w:type="dxa"/>
              <w:end w:w="110" w:type="dxa"/>
            </w:tcMar>
          </w:tcPr>
          <w:p>
            <w:pPr>
              <w:keepLines/>
              <w:spacing w:before="0" w:after="40"/>
            </w:pPr>
            <w:r/>
            <w:r>
              <w:rPr>
                <w:rFonts w:ascii="Aptos" w:hAnsi="Aptos"/>
                <w:b/>
                <w:i w:val="0"/>
                <w:color w:val="071E41"/>
                <w:sz w:val="14"/>
              </w:rPr>
              <w:t>CHOOSE THE PATHWAY</w:t>
            </w:r>
          </w:p>
          <w:p>
            <w:pPr>
              <w:keepLines/>
              <w:spacing w:before="0" w:after="0" w:line="240" w:lineRule="auto"/>
            </w:pPr>
            <w:r>
              <w:rPr>
                <w:rFonts w:ascii="Aptos" w:hAnsi="Aptos"/>
                <w:b w:val="0"/>
                <w:i w:val="0"/>
                <w:color w:val="1E2730"/>
                <w:sz w:val="16"/>
              </w:rPr>
              <w:t>Stock/private label, controlled customization, custom formulation, US-based production, or international sourcing are different commercial models.</w:t>
            </w:r>
          </w:p>
        </w:tc>
        <w:tc>
          <w:tcPr>
            <w:tcW w:type="dxa" w:w="3417"/>
            <w:shd w:fill="F5F8FC" w:val="clear"/>
            <w:tcBorders>
              <w:top w:val="single" w:sz="7" w:color="3978D7"/>
              <w:left w:val="single" w:sz="4" w:color="FFFFFF"/>
              <w:bottom w:val="single" w:sz="7" w:color="3978D7"/>
              <w:right w:val="single" w:sz="4" w:color="FFFFFF"/>
            </w:tcBorders>
            <w:tcMar>
              <w:top w:w="100" w:type="dxa"/>
              <w:start w:w="110" w:type="dxa"/>
              <w:bottom w:w="100" w:type="dxa"/>
              <w:end w:w="110" w:type="dxa"/>
            </w:tcMar>
          </w:tcPr>
          <w:p>
            <w:pPr>
              <w:keepLines/>
              <w:spacing w:before="0" w:after="40"/>
            </w:pPr>
            <w:r/>
            <w:r>
              <w:rPr>
                <w:rFonts w:ascii="Aptos" w:hAnsi="Aptos"/>
                <w:b/>
                <w:i w:val="0"/>
                <w:color w:val="071E41"/>
                <w:sz w:val="14"/>
              </w:rPr>
              <w:t>KNOW THE CLAIMS BOUNDARY</w:t>
            </w:r>
          </w:p>
          <w:p>
            <w:pPr>
              <w:keepLines/>
              <w:spacing w:before="0" w:after="0" w:line="240" w:lineRule="auto"/>
            </w:pPr>
            <w:r>
              <w:rPr>
                <w:rFonts w:ascii="Aptos" w:hAnsi="Aptos"/>
                <w:b w:val="0"/>
                <w:i w:val="0"/>
                <w:color w:val="1E2730"/>
                <w:sz w:val="16"/>
              </w:rPr>
              <w:t>Cosmetic, OTC, clinical, wellness, or fragrance claims can change testing, compliance, documentation, and quote assumptions.</w:t>
            </w:r>
          </w:p>
        </w:tc>
        <w:tc>
          <w:tcPr>
            <w:tcW w:type="dxa" w:w="3417"/>
            <w:shd w:fill="EFF5FF" w:val="clear"/>
            <w:tcBorders>
              <w:top w:val="single" w:sz="7" w:color="3978D7"/>
              <w:left w:val="single" w:sz="4" w:color="FFFFFF"/>
              <w:bottom w:val="single" w:sz="7" w:color="3978D7"/>
              <w:right w:val="single" w:sz="4" w:color="FFFFFF"/>
            </w:tcBorders>
            <w:tcMar>
              <w:top w:w="100" w:type="dxa"/>
              <w:start w:w="110" w:type="dxa"/>
              <w:bottom w:w="100" w:type="dxa"/>
              <w:end w:w="110" w:type="dxa"/>
            </w:tcMar>
          </w:tcPr>
          <w:p>
            <w:pPr>
              <w:keepLines/>
              <w:spacing w:before="0" w:after="40"/>
            </w:pPr>
            <w:r/>
            <w:r>
              <w:rPr>
                <w:rFonts w:ascii="Aptos" w:hAnsi="Aptos"/>
                <w:b/>
                <w:i w:val="0"/>
                <w:color w:val="071E41"/>
                <w:sz w:val="14"/>
              </w:rPr>
              <w:t>PLAN THE TOTAL LAUNCH</w:t>
            </w:r>
          </w:p>
          <w:p>
            <w:pPr>
              <w:keepLines/>
              <w:spacing w:before="0" w:after="0" w:line="240" w:lineRule="auto"/>
            </w:pPr>
            <w:r>
              <w:rPr>
                <w:rFonts w:ascii="Aptos" w:hAnsi="Aptos"/>
                <w:b w:val="0"/>
                <w:i w:val="0"/>
                <w:color w:val="1E2730"/>
                <w:sz w:val="16"/>
              </w:rPr>
              <w:t>Formula, packaging, components, samples, freight, retail documentation, payment terms, and re-order economics matter as much as a finished-goods MOQ.</w:t>
            </w:r>
          </w:p>
        </w:tc>
      </w:tr>
    </w:tbl>
    <w:p>
      <w:pPr>
        <w:widowControl/>
        <w:spacing w:after="60"/>
      </w:pPr>
    </w:p>
    <w:tbl>
      <w:tblPr>
        <w:tblW w:type="auto" w:w="0"/>
        <w:jc w:val="center"/>
        <w:tblLayout w:type="fixed"/>
        <w:tblLook w:firstColumn="1" w:firstRow="1" w:lastColumn="0" w:lastRow="0" w:noHBand="0" w:noVBand="1" w:val="04A0"/>
      </w:tblPr>
      <w:tblGrid>
        <w:gridCol w:w="10252"/>
      </w:tblGrid>
      <w:tr>
        <w:tc>
          <w:tcPr>
            <w:tcW w:type="dxa" w:w="10252"/>
            <w:shd w:fill="FFF5E7" w:val="clear"/>
            <w:tcBorders>
              <w:top w:val="single" w:sz="10" w:color="C89B2C"/>
              <w:left w:val="single" w:sz="10" w:color="C89B2C"/>
              <w:bottom w:val="single" w:sz="10" w:color="C89B2C"/>
              <w:right w:val="single" w:sz="10" w:color="C89B2C"/>
            </w:tcBorders>
            <w:tcMar>
              <w:top w:w="110" w:type="dxa"/>
              <w:start w:w="130" w:type="dxa"/>
              <w:bottom w:w="110" w:type="dxa"/>
              <w:end w:w="130" w:type="dxa"/>
            </w:tcMar>
          </w:tcPr>
          <w:p>
            <w:pPr>
              <w:keepLines/>
              <w:spacing w:before="0" w:after="40"/>
            </w:pPr>
            <w:r/>
            <w:r>
              <w:rPr>
                <w:rFonts w:ascii="Aptos" w:hAnsi="Aptos"/>
                <w:b/>
                <w:i w:val="0"/>
                <w:color w:val="C89B2C"/>
                <w:sz w:val="16"/>
              </w:rPr>
              <w:t>FOUNDER DECISION CUE</w:t>
            </w:r>
          </w:p>
          <w:p>
            <w:pPr>
              <w:keepLines/>
              <w:spacing w:before="0" w:after="0" w:line="247" w:lineRule="auto"/>
            </w:pPr>
            <w:r>
              <w:rPr>
                <w:rFonts w:ascii="Aptos" w:hAnsi="Aptos"/>
                <w:b w:val="0"/>
                <w:i w:val="0"/>
                <w:color w:val="1E2730"/>
                <w:sz w:val="17"/>
              </w:rPr>
              <w:t>Start with one product family, one target pack size, one initial MOQ, and a written question about claims, testing, packaging, payment, and re-order expectations. Use VGP when the decision requires custom formulation strategy, retailer-specific requirements, or coordinated sourcing across formula, pack, and fulfillment.</w:t>
            </w:r>
          </w:p>
        </w:tc>
      </w:tr>
    </w:tbl>
    <w:p>
      <w:pPr>
        <w:widowControl/>
        <w:spacing w:after="40"/>
      </w:pPr>
    </w:p>
    <w:p>
      <w:pPr>
        <w:widowControl/>
        <w:spacing w:after="100"/>
      </w:pPr>
    </w:p>
    <w:p>
      <w:pPr>
        <w:keepNext/>
        <w:widowControl/>
        <w:spacing w:before="200" w:after="80"/>
      </w:pPr>
      <w:r>
        <w:rPr>
          <w:rFonts w:ascii="Aptos Display" w:hAnsi="Aptos Display"/>
          <w:b/>
          <w:i w:val="0"/>
          <w:color w:val="071E41"/>
          <w:sz w:val="25"/>
        </w:rPr>
        <w:t>Category Quick Match</w:t>
      </w:r>
    </w:p>
    <w:tbl>
      <w:tblPr>
        <w:tblW w:type="auto" w:w="0"/>
        <w:jc w:val="center"/>
        <w:tblLayout w:type="fixed"/>
        <w:tblLook w:firstColumn="1" w:firstRow="1" w:lastColumn="0" w:lastRow="0" w:noHBand="0" w:noVBand="1" w:val="04A0"/>
      </w:tblPr>
      <w:tblGrid>
        <w:gridCol w:w="3417"/>
        <w:gridCol w:w="3417"/>
        <w:gridCol w:w="3417"/>
      </w:tblGrid>
      <w:tr>
        <w:trPr>
          <w:tblHeader w:val="true"/>
        </w:trPr>
        <w:tc>
          <w:tcPr>
            <w:tcW w:type="dxa" w:w="2620"/>
            <w:shd w:fill="071E41" w:val="clear"/>
            <w:tcMar>
              <w:top w:w="60" w:type="dxa"/>
              <w:start w:w="70" w:type="dxa"/>
              <w:bottom w:w="60" w:type="dxa"/>
              <w:end w:w="70" w:type="dxa"/>
            </w:tcMar>
          </w:tcPr>
          <w:p>
            <w:pPr>
              <w:spacing w:before="0" w:after="0"/>
            </w:pPr>
            <w:r/>
            <w:r>
              <w:rPr>
                <w:rFonts w:ascii="Aptos" w:hAnsi="Aptos"/>
                <w:b/>
                <w:i w:val="0"/>
                <w:color w:val="FFFFFF"/>
                <w:sz w:val="13"/>
              </w:rPr>
              <w:t>PARTNER</w:t>
            </w:r>
          </w:p>
        </w:tc>
        <w:tc>
          <w:tcPr>
            <w:tcW w:type="dxa" w:w="3484"/>
            <w:shd w:fill="071E41" w:val="clear"/>
            <w:tcMar>
              <w:top w:w="60" w:type="dxa"/>
              <w:start w:w="70" w:type="dxa"/>
              <w:bottom w:w="60" w:type="dxa"/>
              <w:end w:w="70" w:type="dxa"/>
            </w:tcMar>
          </w:tcPr>
          <w:p>
            <w:pPr>
              <w:spacing w:before="0" w:after="0"/>
            </w:pPr>
            <w:r/>
            <w:r>
              <w:rPr>
                <w:rFonts w:ascii="Aptos" w:hAnsi="Aptos"/>
                <w:b/>
                <w:i w:val="0"/>
                <w:color w:val="FFFFFF"/>
                <w:sz w:val="13"/>
              </w:rPr>
              <w:t>PUBLISHED STARTING SIGNAL</w:t>
            </w:r>
          </w:p>
        </w:tc>
        <w:tc>
          <w:tcPr>
            <w:tcW w:type="dxa" w:w="4147"/>
            <w:shd w:fill="071E41" w:val="clear"/>
            <w:tcMar>
              <w:top w:w="60" w:type="dxa"/>
              <w:start w:w="70" w:type="dxa"/>
              <w:bottom w:w="60" w:type="dxa"/>
              <w:end w:w="70" w:type="dxa"/>
            </w:tcMar>
          </w:tcPr>
          <w:p>
            <w:pPr>
              <w:spacing w:before="0" w:after="0"/>
            </w:pPr>
            <w:r/>
            <w:r>
              <w:rPr>
                <w:rFonts w:ascii="Aptos" w:hAnsi="Aptos"/>
                <w:b/>
                <w:i w:val="0"/>
                <w:color w:val="FFFFFF"/>
                <w:sz w:val="13"/>
              </w:rPr>
              <w:t>WHY ASSESS THIS ROUTE</w:t>
            </w:r>
          </w:p>
        </w:tc>
      </w:tr>
      <w:tr>
        <w:trPr>
          <w:cantSplit/>
        </w:trPr>
        <w:tc>
          <w:tcPr>
            <w:tcW w:type="dxa" w:w="2620"/>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MFG-B01</w:t>
              <w:br/>
              <w:t>Dlab Custom Cosmetics</w:t>
            </w:r>
          </w:p>
        </w:tc>
        <w:tc>
          <w:tcPr>
            <w:tcW w:type="dxa" w:w="3484"/>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Online: 100 units.</w:t>
            </w:r>
          </w:p>
        </w:tc>
        <w:tc>
          <w:tcPr>
            <w:tcW w:type="dxa" w:w="4147"/>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Strong early beauty route when the founder can use a catalog product or a controlled customization path,...</w:t>
            </w:r>
          </w:p>
        </w:tc>
      </w:tr>
      <w:tr>
        <w:trPr>
          <w:cantSplit/>
        </w:trPr>
        <w:tc>
          <w:tcPr>
            <w:tcW w:type="dxa" w:w="2620"/>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MFG-B02</w:t>
              <w:br/>
              <w:t>Compounding Cosmetics</w:t>
            </w:r>
          </w:p>
        </w:tc>
        <w:tc>
          <w:tcPr>
            <w:tcW w:type="dxa" w:w="3484"/>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Public FAQ says 10 units minimum depending on product type.</w:t>
            </w:r>
          </w:p>
        </w:tc>
        <w:tc>
          <w:tcPr>
            <w:tcW w:type="dxa" w:w="4147"/>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Best for founders prioritizing a US-based, high-touch discovery path with a small advertised starting...</w:t>
            </w:r>
          </w:p>
        </w:tc>
      </w:tr>
      <w:tr>
        <w:trPr>
          <w:cantSplit/>
        </w:trPr>
        <w:tc>
          <w:tcPr>
            <w:tcW w:type="dxa" w:w="2620"/>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MFG-B03</w:t>
              <w:br/>
              <w:t>Tropical Labs</w:t>
            </w:r>
          </w:p>
        </w:tc>
        <w:tc>
          <w:tcPr>
            <w:tcW w:type="dxa" w:w="3484"/>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Private label: 250+ pieces.</w:t>
            </w:r>
          </w:p>
        </w:tc>
        <w:tc>
          <w:tcPr>
            <w:tcW w:type="dxa" w:w="4147"/>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Good transition partner for a founder who has moved beyond a micro launch and needs a US manufacturer...</w:t>
            </w:r>
          </w:p>
        </w:tc>
      </w:tr>
      <w:tr>
        <w:trPr>
          <w:cantSplit/>
        </w:trPr>
        <w:tc>
          <w:tcPr>
            <w:tcW w:type="dxa" w:w="2620"/>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MFG-B04</w:t>
              <w:br/>
              <w:t>Noesis Cosmetics</w:t>
            </w:r>
          </w:p>
        </w:tc>
        <w:tc>
          <w:tcPr>
            <w:tcW w:type="dxa" w:w="3484"/>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Standard MOQ: 500 finished units per product for contract manufacturing, ready-made...</w:t>
            </w:r>
          </w:p>
        </w:tc>
        <w:tc>
          <w:tcPr>
            <w:tcW w:type="dxa" w:w="4147"/>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Useful for an emerging beauty founder with a 500-unit working plan who needs a clearly stated standard...</w:t>
            </w:r>
          </w:p>
        </w:tc>
      </w:tr>
      <w:tr>
        <w:trPr>
          <w:cantSplit/>
        </w:trPr>
        <w:tc>
          <w:tcPr>
            <w:tcW w:type="dxa" w:w="2620"/>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MFG-B05</w:t>
              <w:br/>
              <w:t>Formyoule</w:t>
            </w:r>
          </w:p>
        </w:tc>
        <w:tc>
          <w:tcPr>
            <w:tcW w:type="dxa" w:w="3484"/>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Public marketing says low MOQ and small batch.</w:t>
            </w:r>
          </w:p>
        </w:tc>
        <w:tc>
          <w:tcPr>
            <w:tcW w:type="dxa" w:w="4147"/>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A quote-led option for skincare founders who need formulation/regulatory/packaging support and want to...</w:t>
            </w:r>
          </w:p>
        </w:tc>
      </w:tr>
    </w:tbl>
    <w:p>
      <w:pPr>
        <w:widowControl/>
      </w:pPr>
      <w:r>
        <w:br w:type="page"/>
      </w:r>
    </w:p>
    <w:p>
      <w:pPr>
        <w:keepNext/>
        <w:widowControl/>
        <w:spacing w:before="0" w:after="60"/>
      </w:pPr>
      <w:r>
        <w:rPr>
          <w:rFonts w:ascii="Aptos" w:hAnsi="Aptos"/>
          <w:b/>
          <w:i w:val="0"/>
          <w:color w:val="3978D7"/>
          <w:sz w:val="16"/>
        </w:rPr>
        <w:t>MFG-B01 | BEAUTY + PERSONAL CARE MANUFACTURING</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Dlab Custom Cosmetics</w:t>
            </w:r>
          </w:p>
          <w:p>
            <w:pPr>
              <w:keepLines/>
              <w:spacing w:before="0" w:after="0"/>
            </w:pPr>
            <w:r>
              <w:rPr>
                <w:rFonts w:ascii="Aptos" w:hAnsi="Aptos"/>
                <w:b/>
                <w:i w:val="0"/>
                <w:color w:val="DCEBFF"/>
                <w:sz w:val="17"/>
              </w:rPr>
              <w:t>Beauty | Low-MOQ private label + custom</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Lip products, skincare, haircare and beardcare, bodycare, makeup, mens skincare, and perfume. Offers online private-label customization, advanced customization, and unique-product development.</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Strong early beauty route when the founder can use a catalog product or a controlled customization path, wants a named production range, and can manage international compliance and freight.</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Online: 100 units. Advanced: 100-500. Unique product: 500-5,000+ units. Product and packaging choices still drive the final quote.</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Online private label: about 60 days. Advanced: 60-90 days. Unique product: from 90 days. Confirm time to delivery for the founder's market.</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DLAB project team. support@dlabcosmetics.com | International WhatsApp +1 (304) 772-2544 | calendly.com/dlabcustomcosmetics/</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A selected product lane, target market/country, first production quantity, initial budget, intended formula/claim direction, and packaging preferences.</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Clarify regulatory file deliverables for the US and any retail channel; samples; per-unit landed cost; revision limits; freight/incoterms; payment schedule.</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Low MOQ does not mean low total cash need. Confirm freight, duty, compliance, samples, shipping damage, and whether retailer documentation is sufficient.</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dlabcosmetics.com  |  Public-source check: July 1, 2026</w:t>
      </w:r>
    </w:p>
    <w:p>
      <w:pPr>
        <w:widowControl/>
      </w:pPr>
      <w:r>
        <w:br w:type="page"/>
      </w:r>
    </w:p>
    <w:p>
      <w:pPr>
        <w:keepNext/>
        <w:widowControl/>
        <w:spacing w:before="0" w:after="60"/>
      </w:pPr>
      <w:r>
        <w:rPr>
          <w:rFonts w:ascii="Aptos" w:hAnsi="Aptos"/>
          <w:b/>
          <w:i w:val="0"/>
          <w:color w:val="3978D7"/>
          <w:sz w:val="16"/>
        </w:rPr>
        <w:t>MFG-B02 | BEAUTY + PERSONAL CARE MANUFACTURING</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Compounding Cosmetics</w:t>
            </w:r>
          </w:p>
          <w:p>
            <w:pPr>
              <w:keepLines/>
              <w:spacing w:before="0" w:after="0"/>
            </w:pPr>
            <w:r>
              <w:rPr>
                <w:rFonts w:ascii="Aptos" w:hAnsi="Aptos"/>
                <w:b/>
                <w:i w:val="0"/>
                <w:color w:val="DCEBFF"/>
                <w:sz w:val="17"/>
              </w:rPr>
              <w:t>Beauty | US-made private label + custom</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Cosmetic-grade skincare, haircare, makeup, wellness, and clinical/aesthetic-support products. Offers contract manufacturing, stock/private label, custom formula development, testing/compliance, and packaging support.</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Best for founders prioritizing a US-based, high-touch discovery path with a small advertised starting order, stock formula sampling, and focused cosmetic-grade products.</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Public FAQ says 10 units minimum depending on product type. Custom formula development starts at $4,000 and includes three sampling rounds; formula ownership is a separate premium upgrade.</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No standard finished-goods lead time is publicly stated. Ask for separate timing for stock formula, custom formula, testing, artwork, production, and pickup.</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Discovery Call team. hello@compoundingcosmetics.com | 1-321-305-6640 | Port St. John / Cocoa, Florida.</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SKU concept, target consumer, product type, desired claims, packaging concept, first-run budget, shipping plan, and a decision on stock formula versus custom formulation.</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Confirm product-specific MOQ, stability/compatibility testing, batch documentation, formula ownership, label-compliance scope, who arranges freight, payment schedule, and re-order terms.</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The company notes it does not manufacture OTC drugs, prescription products, or medicated formulations. Do not overstate cosmetic claims without qualified review.</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compoundingcosmetics.com  |  Public-source check: July 1, 2026</w:t>
      </w:r>
    </w:p>
    <w:p>
      <w:pPr>
        <w:widowControl/>
      </w:pPr>
      <w:r>
        <w:br w:type="page"/>
      </w:r>
    </w:p>
    <w:p>
      <w:pPr>
        <w:keepNext/>
        <w:widowControl/>
        <w:spacing w:before="0" w:after="60"/>
      </w:pPr>
      <w:r>
        <w:rPr>
          <w:rFonts w:ascii="Aptos" w:hAnsi="Aptos"/>
          <w:b/>
          <w:i w:val="0"/>
          <w:color w:val="3978D7"/>
          <w:sz w:val="16"/>
        </w:rPr>
        <w:t>MFG-B03 | BEAUTY + PERSONAL CARE MANUFACTURING</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Tropical Labs</w:t>
            </w:r>
          </w:p>
          <w:p>
            <w:pPr>
              <w:keepLines/>
              <w:spacing w:before="0" w:after="0"/>
            </w:pPr>
            <w:r>
              <w:rPr>
                <w:rFonts w:ascii="Aptos" w:hAnsi="Aptos"/>
                <w:b/>
                <w:i w:val="0"/>
                <w:color w:val="DCEBFF"/>
                <w:sz w:val="17"/>
              </w:rPr>
              <w:t>Beauty / Wellness | US private label + R&amp;D</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US contract manufacturing, private label, co-packing, R&amp;D, packaging, and in-house design/digital printing across beauty, skincare, personal care, pet care, household care, nutraceuticals, and selected OTC capabilities.</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Good transition partner for a founder who has moved beyond a micro launch and needs a US manufacturer with distinct pathways from fast private label to full R&amp;D.</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Private label: 250+ pieces. Ready-to-Finish: 2,500+. Full R&amp;D: 2,500+. Products include balms, powders, creams, liquids, sprays, gels, tablets, capsules, soft gels, and topical personal care.</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Private label: 6-8 weeks. Ready-to-Finish: 16-18 weeks. R&amp;D: 8-12 months+. Timing depends on packaging, testing, formula, and approval complexity.</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New Project Team via website contact form | 813-837-9800 | Tampa, Florida. A named inbound sales lead is not publicly identified.</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Product category, desired launch pathway, intended channel, initial and annual quantities, target cost, packaging preference, and evidence of funding for the selected program.</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Which launch path fits this formula and budget? What testing is required? Who owns IP? What does label compliance include? What are deposit, balance, storage, and re-order terms?</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The 250-unit option is stock/private label. Customization and R&amp;D move to materially higher MOQs, longer lead times, and higher financial commitment.</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tropicallabs.com  |  Public-source check: July 1, 2026</w:t>
      </w:r>
    </w:p>
    <w:p>
      <w:pPr>
        <w:widowControl/>
      </w:pPr>
      <w:r>
        <w:br w:type="page"/>
      </w:r>
    </w:p>
    <w:p>
      <w:pPr>
        <w:keepNext/>
        <w:widowControl/>
        <w:spacing w:before="0" w:after="60"/>
      </w:pPr>
      <w:r>
        <w:rPr>
          <w:rFonts w:ascii="Aptos" w:hAnsi="Aptos"/>
          <w:b/>
          <w:i w:val="0"/>
          <w:color w:val="3978D7"/>
          <w:sz w:val="16"/>
        </w:rPr>
        <w:t>MFG-B04 | BEAUTY + PERSONAL CARE MANUFACTURING</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Noesis Cosmetics</w:t>
            </w:r>
          </w:p>
          <w:p>
            <w:pPr>
              <w:keepLines/>
              <w:spacing w:before="0" w:after="0"/>
            </w:pPr>
            <w:r>
              <w:rPr>
                <w:rFonts w:ascii="Aptos" w:hAnsi="Aptos"/>
                <w:b/>
                <w:i w:val="0"/>
                <w:color w:val="DCEBFF"/>
                <w:sz w:val="17"/>
              </w:rPr>
              <w:t>Beauty | Contract manufacturing + private label</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Contract manufacturing and private-label personal care. Public materials describe skincare, haircare, oral care, intimate care, and other personal-care projects, with formulation and packaging customization options.</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Useful for an emerging beauty founder with a 500-unit working plan who needs a clearly stated standard MOQ and is prepared to manage a project with international supplier considerations.</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Standard MOQ: 500 finished units per product for contract manufacturing, ready-made formulations, and custom formulas. Bulk only: 120 liters liquid/semi-liquid or 80 kilograms powder. Some packaging processes require higher quantities.</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Custom-formula development is published at 4-12 weeks depending on complexity. Finished-product production timing is project-specific and must be quoted after formula, packaging, and documentation decisions.</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Sales inquiry / project form on the NOESIS website. A named new-business contact, public email, and public phone were not verified in this edition.</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Formula decision, packaging decoration preference, target SKU count, budget for potential raw-material allocation, required regulatory documentation, and a 500-unit-per-SKU planning model.</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Confirm production/packaging timeline, material allocation fees, regulatory documentation, finished product release process, payment terms, Incoterms, shipping, and re-order quantity economics.</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A 500-unit MOQ may still carry additional material/packaging requirements. The vendor notes specialized ingredients or packaging can create upfront allocation fees.</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noesiscosmetics.com  |  Public-source check: July 1, 2026</w:t>
      </w:r>
    </w:p>
    <w:p>
      <w:pPr>
        <w:widowControl/>
      </w:pPr>
      <w:r>
        <w:br w:type="page"/>
      </w:r>
    </w:p>
    <w:p>
      <w:pPr>
        <w:keepNext/>
        <w:widowControl/>
        <w:spacing w:before="0" w:after="60"/>
      </w:pPr>
      <w:r>
        <w:rPr>
          <w:rFonts w:ascii="Aptos" w:hAnsi="Aptos"/>
          <w:b/>
          <w:i w:val="0"/>
          <w:color w:val="3978D7"/>
          <w:sz w:val="16"/>
        </w:rPr>
        <w:t>MFG-B05 | BEAUTY + PERSONAL CARE MANUFACTURING</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Formyoule</w:t>
            </w:r>
          </w:p>
          <w:p>
            <w:pPr>
              <w:keepLines/>
              <w:spacing w:before="0" w:after="0"/>
            </w:pPr>
            <w:r>
              <w:rPr>
                <w:rFonts w:ascii="Aptos" w:hAnsi="Aptos"/>
                <w:b/>
                <w:i w:val="0"/>
                <w:color w:val="DCEBFF"/>
                <w:sz w:val="17"/>
              </w:rPr>
              <w:t>Beauty | Small-batch skincare + sourcing</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Small-batch skincare manufacturing, formulation development, regulatory compliance, packaging sourcing, and face, body, hair, and personal-care pathways. Public positioning emphasizes indie brands and low-MOQ production.</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A quote-led option for skincare founders who need formulation/regulatory/packaging support and want to investigate small-batch capability before assuming a production path.</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Public marketing says low MOQ and small batch. However, the current contact form asks prospective clients to choose first-order quantities beginning at 5,000-10,000. Treat a written project quote as controlling.</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No public standard lead time was verified. Ask for separate schedule estimates for formula development, testing, packaging sourcing, production, and shipment.</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Business inquiry team. info@formyouleinc.com | Website contact form. A public sales phone or named new-business contact was not verified in this edition.</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Target product format, target market, formulation status, desired claims, initial order forecast, packaging concept, launch timing, and target retail/DTC channel.</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Reconcile public small-batch positioning with actual SKU MOQ; confirm testing and regulatory scope; ask about packaging sourcing, payment schedule, sampling, project management, and minimum reorder volume.</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Do not use the phrase 'low MOQ' as a number. The public inquiry form signals a materially higher production range than a typical micro-batch launch.</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formyouleinc.com  |  Public-source check: July 1, 2026</w:t>
      </w:r>
    </w:p>
    <w:p>
      <w:pPr>
        <w:widowControl/>
      </w:pPr>
      <w:r>
        <w:br w:type="page"/>
      </w:r>
    </w:p>
    <w:p>
      <w:pPr>
        <w:keepNext/>
        <w:widowControl/>
        <w:spacing w:before="0" w:after="60"/>
      </w:pPr>
      <w:r>
        <w:rPr>
          <w:rFonts w:ascii="Aptos" w:hAnsi="Aptos"/>
          <w:b/>
          <w:i w:val="0"/>
          <w:color w:val="3978D7"/>
          <w:sz w:val="16"/>
        </w:rPr>
        <w:t>06 | PARTNER CATEGORY</w:t>
      </w:r>
    </w:p>
    <w:p>
      <w:pPr>
        <w:keepNext/>
        <w:widowControl/>
        <w:spacing w:before="0" w:after="80"/>
      </w:pPr>
      <w:r>
        <w:rPr>
          <w:rFonts w:ascii="Aptos Display" w:hAnsi="Aptos Display"/>
          <w:b/>
          <w:i w:val="0"/>
          <w:color w:val="071E41"/>
          <w:sz w:val="40"/>
        </w:rPr>
        <w:t>Beverage, Food + Dry Blends</w:t>
      </w:r>
    </w:p>
    <w:p>
      <w:pPr>
        <w:keepNext/>
        <w:widowControl/>
        <w:spacing w:before="0" w:after="200" w:line="252" w:lineRule="auto"/>
      </w:pPr>
      <w:r>
        <w:rPr>
          <w:rFonts w:ascii="Aptos" w:hAnsi="Aptos"/>
          <w:b w:val="0"/>
          <w:i w:val="0"/>
          <w:color w:val="4B5563"/>
          <w:sz w:val="17"/>
        </w:rPr>
        <w:t>Selected for small-batch, pilot, low-MOQ, or founder-accessible production signals. They do not replace food science, process authority, regulatory, legal, or insurance diligence.</w:t>
      </w:r>
    </w:p>
    <w:tbl>
      <w:tblPr>
        <w:tblW w:type="auto" w:w="0"/>
        <w:jc w:val="left"/>
        <w:tblLayout w:type="fixed"/>
        <w:tblLook w:firstColumn="1" w:firstRow="1" w:lastColumn="0" w:lastRow="0" w:noHBand="0" w:noVBand="1" w:val="04A0"/>
      </w:tblPr>
      <w:tblGrid>
        <w:gridCol w:w="10252"/>
      </w:tblGrid>
      <w:tr>
        <w:tc>
          <w:tcPr>
            <w:tcW w:type="dxa" w:w="1512"/>
            <w:shd w:fill="3978D7" w:val="clear"/>
            <w:tcMar>
              <w:top w:w="15" w:type="dxa"/>
              <w:start w:w="0" w:type="dxa"/>
              <w:bottom w:w="15" w:type="dxa"/>
              <w:end w:w="0" w:type="dxa"/>
            </w:tcMar>
          </w:tcPr>
          <w:p>
            <w:r/>
          </w:p>
        </w:tc>
      </w:tr>
    </w:tbl>
    <w:p>
      <w:pPr>
        <w:widowControl/>
        <w:spacing w:after="40"/>
      </w:pPr>
    </w:p>
    <w:tbl>
      <w:tblPr>
        <w:tblW w:type="auto" w:w="0"/>
        <w:jc w:val="center"/>
        <w:tblLayout w:type="fixed"/>
        <w:tblLook w:firstColumn="1" w:firstRow="1" w:lastColumn="0" w:lastRow="0" w:noHBand="0" w:noVBand="1" w:val="04A0"/>
      </w:tblPr>
      <w:tblGrid>
        <w:gridCol w:w="3417"/>
        <w:gridCol w:w="3417"/>
        <w:gridCol w:w="3417"/>
      </w:tblGrid>
      <w:tr>
        <w:tc>
          <w:tcPr>
            <w:tcW w:type="dxa" w:w="3417"/>
            <w:shd w:fill="EFF5FF" w:val="clear"/>
            <w:tcBorders>
              <w:top w:val="single" w:sz="7" w:color="3978D7"/>
              <w:left w:val="single" w:sz="4" w:color="FFFFFF"/>
              <w:bottom w:val="single" w:sz="7" w:color="3978D7"/>
              <w:right w:val="single" w:sz="4" w:color="FFFFFF"/>
            </w:tcBorders>
            <w:tcMar>
              <w:top w:w="100" w:type="dxa"/>
              <w:start w:w="110" w:type="dxa"/>
              <w:bottom w:w="100" w:type="dxa"/>
              <w:end w:w="110" w:type="dxa"/>
            </w:tcMar>
          </w:tcPr>
          <w:p>
            <w:pPr>
              <w:keepLines/>
              <w:spacing w:before="0" w:after="40"/>
            </w:pPr>
            <w:r/>
            <w:r>
              <w:rPr>
                <w:rFonts w:ascii="Aptos" w:hAnsi="Aptos"/>
                <w:b/>
                <w:i w:val="0"/>
                <w:color w:val="071E41"/>
                <w:sz w:val="14"/>
              </w:rPr>
              <w:t>BRING A REAL PRODUCT BRIEF</w:t>
            </w:r>
          </w:p>
          <w:p>
            <w:pPr>
              <w:keepLines/>
              <w:spacing w:before="0" w:after="0" w:line="240" w:lineRule="auto"/>
            </w:pPr>
            <w:r>
              <w:rPr>
                <w:rFonts w:ascii="Aptos" w:hAnsi="Aptos"/>
                <w:b w:val="0"/>
                <w:i w:val="0"/>
                <w:color w:val="1E2730"/>
                <w:sz w:val="16"/>
              </w:rPr>
              <w:t>A co-packer needs category, recipe/formulation status, ingredient constraints, desired package, run size, and target channel - not only a flavor idea.</w:t>
            </w:r>
          </w:p>
        </w:tc>
        <w:tc>
          <w:tcPr>
            <w:tcW w:type="dxa" w:w="3417"/>
            <w:shd w:fill="F5F8FC" w:val="clear"/>
            <w:tcBorders>
              <w:top w:val="single" w:sz="7" w:color="3978D7"/>
              <w:left w:val="single" w:sz="4" w:color="FFFFFF"/>
              <w:bottom w:val="single" w:sz="7" w:color="3978D7"/>
              <w:right w:val="single" w:sz="4" w:color="FFFFFF"/>
            </w:tcBorders>
            <w:tcMar>
              <w:top w:w="100" w:type="dxa"/>
              <w:start w:w="110" w:type="dxa"/>
              <w:bottom w:w="100" w:type="dxa"/>
              <w:end w:w="110" w:type="dxa"/>
            </w:tcMar>
          </w:tcPr>
          <w:p>
            <w:pPr>
              <w:keepLines/>
              <w:spacing w:before="0" w:after="40"/>
            </w:pPr>
            <w:r/>
            <w:r>
              <w:rPr>
                <w:rFonts w:ascii="Aptos" w:hAnsi="Aptos"/>
                <w:b/>
                <w:i w:val="0"/>
                <w:color w:val="071E41"/>
                <w:sz w:val="14"/>
              </w:rPr>
              <w:t>TEST THE PROCESS PATH</w:t>
            </w:r>
          </w:p>
          <w:p>
            <w:pPr>
              <w:keepLines/>
              <w:spacing w:before="0" w:after="0" w:line="240" w:lineRule="auto"/>
            </w:pPr>
            <w:r>
              <w:rPr>
                <w:rFonts w:ascii="Aptos" w:hAnsi="Aptos"/>
                <w:b w:val="0"/>
                <w:i w:val="0"/>
                <w:color w:val="1E2730"/>
                <w:sz w:val="16"/>
              </w:rPr>
              <w:t>Shelf stability, hot/cold fill, canning, dry blend, allergen, label, and lab needs can drive feasibility before a final quote exists.</w:t>
            </w:r>
          </w:p>
        </w:tc>
        <w:tc>
          <w:tcPr>
            <w:tcW w:type="dxa" w:w="3417"/>
            <w:shd w:fill="EFF5FF" w:val="clear"/>
            <w:tcBorders>
              <w:top w:val="single" w:sz="7" w:color="3978D7"/>
              <w:left w:val="single" w:sz="4" w:color="FFFFFF"/>
              <w:bottom w:val="single" w:sz="7" w:color="3978D7"/>
              <w:right w:val="single" w:sz="4" w:color="FFFFFF"/>
            </w:tcBorders>
            <w:tcMar>
              <w:top w:w="100" w:type="dxa"/>
              <w:start w:w="110" w:type="dxa"/>
              <w:bottom w:w="100" w:type="dxa"/>
              <w:end w:w="110" w:type="dxa"/>
            </w:tcMar>
          </w:tcPr>
          <w:p>
            <w:pPr>
              <w:keepLines/>
              <w:spacing w:before="0" w:after="40"/>
            </w:pPr>
            <w:r/>
            <w:r>
              <w:rPr>
                <w:rFonts w:ascii="Aptos" w:hAnsi="Aptos"/>
                <w:b/>
                <w:i w:val="0"/>
                <w:color w:val="071E41"/>
                <w:sz w:val="14"/>
              </w:rPr>
              <w:t>FINANCE THE TOTAL RUN</w:t>
            </w:r>
          </w:p>
          <w:p>
            <w:pPr>
              <w:keepLines/>
              <w:spacing w:before="0" w:after="0" w:line="240" w:lineRule="auto"/>
            </w:pPr>
            <w:r>
              <w:rPr>
                <w:rFonts w:ascii="Aptos" w:hAnsi="Aptos"/>
                <w:b w:val="0"/>
                <w:i w:val="0"/>
                <w:color w:val="1E2730"/>
                <w:sz w:val="16"/>
              </w:rPr>
              <w:t>Ingredients, packaging, co-pack fees, freight, pallet/case requirements, warehousing, and re-order timing can change the cash requirement materially.</w:t>
            </w:r>
          </w:p>
        </w:tc>
      </w:tr>
    </w:tbl>
    <w:p>
      <w:pPr>
        <w:widowControl/>
        <w:spacing w:after="60"/>
      </w:pPr>
    </w:p>
    <w:tbl>
      <w:tblPr>
        <w:tblW w:type="auto" w:w="0"/>
        <w:jc w:val="center"/>
        <w:tblLayout w:type="fixed"/>
        <w:tblLook w:firstColumn="1" w:firstRow="1" w:lastColumn="0" w:lastRow="0" w:noHBand="0" w:noVBand="1" w:val="04A0"/>
      </w:tblPr>
      <w:tblGrid>
        <w:gridCol w:w="10252"/>
      </w:tblGrid>
      <w:tr>
        <w:tc>
          <w:tcPr>
            <w:tcW w:type="dxa" w:w="10252"/>
            <w:shd w:fill="FFF5E7" w:val="clear"/>
            <w:tcBorders>
              <w:top w:val="single" w:sz="10" w:color="C89B2C"/>
              <w:left w:val="single" w:sz="10" w:color="C89B2C"/>
              <w:bottom w:val="single" w:sz="10" w:color="C89B2C"/>
              <w:right w:val="single" w:sz="10" w:color="C89B2C"/>
            </w:tcBorders>
            <w:tcMar>
              <w:top w:w="110" w:type="dxa"/>
              <w:start w:w="130" w:type="dxa"/>
              <w:bottom w:w="110" w:type="dxa"/>
              <w:end w:w="130" w:type="dxa"/>
            </w:tcMar>
          </w:tcPr>
          <w:p>
            <w:pPr>
              <w:keepLines/>
              <w:spacing w:before="0" w:after="40"/>
            </w:pPr>
            <w:r/>
            <w:r>
              <w:rPr>
                <w:rFonts w:ascii="Aptos" w:hAnsi="Aptos"/>
                <w:b/>
                <w:i w:val="0"/>
                <w:color w:val="C89B2C"/>
                <w:sz w:val="16"/>
              </w:rPr>
              <w:t>FOUNDER DECISION CUE</w:t>
            </w:r>
          </w:p>
          <w:p>
            <w:pPr>
              <w:keepLines/>
              <w:spacing w:before="0" w:after="0" w:line="247" w:lineRule="auto"/>
            </w:pPr>
            <w:r>
              <w:rPr>
                <w:rFonts w:ascii="Aptos" w:hAnsi="Aptos"/>
                <w:b w:val="0"/>
                <w:i w:val="0"/>
                <w:color w:val="1E2730"/>
                <w:sz w:val="17"/>
              </w:rPr>
              <w:t>A lower run size does not eliminate food-safety, shelf-life, formulation, or freight risk. Before approving a run, confirm process authority, ingredient/material responsibility, allergen controls, label review, deposit timing, lead time, storage, quality-release steps, and re-order expectations.</w:t>
            </w:r>
          </w:p>
        </w:tc>
      </w:tr>
    </w:tbl>
    <w:p>
      <w:pPr>
        <w:widowControl/>
        <w:spacing w:after="40"/>
      </w:pPr>
    </w:p>
    <w:p>
      <w:pPr>
        <w:widowControl/>
        <w:spacing w:after="100"/>
      </w:pPr>
    </w:p>
    <w:p>
      <w:pPr>
        <w:keepNext/>
        <w:widowControl/>
        <w:spacing w:before="200" w:after="80"/>
      </w:pPr>
      <w:r>
        <w:rPr>
          <w:rFonts w:ascii="Aptos Display" w:hAnsi="Aptos Display"/>
          <w:b/>
          <w:i w:val="0"/>
          <w:color w:val="071E41"/>
          <w:sz w:val="25"/>
        </w:rPr>
        <w:t>Category Quick Match</w:t>
      </w:r>
    </w:p>
    <w:tbl>
      <w:tblPr>
        <w:tblW w:type="auto" w:w="0"/>
        <w:jc w:val="center"/>
        <w:tblLayout w:type="fixed"/>
        <w:tblLook w:firstColumn="1" w:firstRow="1" w:lastColumn="0" w:lastRow="0" w:noHBand="0" w:noVBand="1" w:val="04A0"/>
      </w:tblPr>
      <w:tblGrid>
        <w:gridCol w:w="3417"/>
        <w:gridCol w:w="3417"/>
        <w:gridCol w:w="3417"/>
      </w:tblGrid>
      <w:tr>
        <w:trPr>
          <w:tblHeader w:val="true"/>
        </w:trPr>
        <w:tc>
          <w:tcPr>
            <w:tcW w:type="dxa" w:w="2620"/>
            <w:shd w:fill="071E41" w:val="clear"/>
            <w:tcMar>
              <w:top w:w="60" w:type="dxa"/>
              <w:start w:w="70" w:type="dxa"/>
              <w:bottom w:w="60" w:type="dxa"/>
              <w:end w:w="70" w:type="dxa"/>
            </w:tcMar>
          </w:tcPr>
          <w:p>
            <w:pPr>
              <w:spacing w:before="0" w:after="0"/>
            </w:pPr>
            <w:r/>
            <w:r>
              <w:rPr>
                <w:rFonts w:ascii="Aptos" w:hAnsi="Aptos"/>
                <w:b/>
                <w:i w:val="0"/>
                <w:color w:val="FFFFFF"/>
                <w:sz w:val="13"/>
              </w:rPr>
              <w:t>PARTNER</w:t>
            </w:r>
          </w:p>
        </w:tc>
        <w:tc>
          <w:tcPr>
            <w:tcW w:type="dxa" w:w="3484"/>
            <w:shd w:fill="071E41" w:val="clear"/>
            <w:tcMar>
              <w:top w:w="60" w:type="dxa"/>
              <w:start w:w="70" w:type="dxa"/>
              <w:bottom w:w="60" w:type="dxa"/>
              <w:end w:w="70" w:type="dxa"/>
            </w:tcMar>
          </w:tcPr>
          <w:p>
            <w:pPr>
              <w:spacing w:before="0" w:after="0"/>
            </w:pPr>
            <w:r/>
            <w:r>
              <w:rPr>
                <w:rFonts w:ascii="Aptos" w:hAnsi="Aptos"/>
                <w:b/>
                <w:i w:val="0"/>
                <w:color w:val="FFFFFF"/>
                <w:sz w:val="13"/>
              </w:rPr>
              <w:t>PUBLISHED STARTING SIGNAL</w:t>
            </w:r>
          </w:p>
        </w:tc>
        <w:tc>
          <w:tcPr>
            <w:tcW w:type="dxa" w:w="4147"/>
            <w:shd w:fill="071E41" w:val="clear"/>
            <w:tcMar>
              <w:top w:w="60" w:type="dxa"/>
              <w:start w:w="70" w:type="dxa"/>
              <w:bottom w:w="60" w:type="dxa"/>
              <w:end w:w="70" w:type="dxa"/>
            </w:tcMar>
          </w:tcPr>
          <w:p>
            <w:pPr>
              <w:spacing w:before="0" w:after="0"/>
            </w:pPr>
            <w:r/>
            <w:r>
              <w:rPr>
                <w:rFonts w:ascii="Aptos" w:hAnsi="Aptos"/>
                <w:b/>
                <w:i w:val="0"/>
                <w:color w:val="FFFFFF"/>
                <w:sz w:val="13"/>
              </w:rPr>
              <w:t>WHY ASSESS THIS ROUTE</w:t>
            </w:r>
          </w:p>
        </w:tc>
      </w:tr>
      <w:tr>
        <w:trPr>
          <w:cantSplit/>
        </w:trPr>
        <w:tc>
          <w:tcPr>
            <w:tcW w:type="dxa" w:w="2620"/>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MFG-C01</w:t>
              <w:br/>
              <w:t>Protopackers</w:t>
            </w:r>
          </w:p>
        </w:tc>
        <w:tc>
          <w:tcPr>
            <w:tcW w:type="dxa" w:w="3484"/>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Hero/sample runs start at $479, ingredients excluded.</w:t>
            </w:r>
          </w:p>
        </w:tc>
        <w:tc>
          <w:tcPr>
            <w:tcW w:type="dxa" w:w="4147"/>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One of the clearest research, sample, test-market, and pilot-run routes for a beverage founder who is...</w:t>
            </w:r>
          </w:p>
        </w:tc>
      </w:tr>
      <w:tr>
        <w:trPr>
          <w:cantSplit/>
        </w:trPr>
        <w:tc>
          <w:tcPr>
            <w:tcW w:type="dxa" w:w="2620"/>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MFG-C02</w:t>
              <w:br/>
              <w:t>Craftek Beverages</w:t>
            </w:r>
          </w:p>
        </w:tc>
        <w:tc>
          <w:tcPr>
            <w:tcW w:type="dxa" w:w="3484"/>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Pilot-run minimums begin at 160 cases for test markets.</w:t>
            </w:r>
          </w:p>
        </w:tc>
        <w:tc>
          <w:tcPr>
            <w:tcW w:type="dxa" w:w="4147"/>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Strong Southeast small-batch beverage option for founders who want a direct relationship with a...</w:t>
            </w:r>
          </w:p>
        </w:tc>
      </w:tr>
      <w:tr>
        <w:trPr>
          <w:cantSplit/>
        </w:trPr>
        <w:tc>
          <w:tcPr>
            <w:tcW w:type="dxa" w:w="2620"/>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MFG-C03</w:t>
              <w:br/>
              <w:t>Genuine Local</w:t>
            </w:r>
          </w:p>
        </w:tc>
        <w:tc>
          <w:tcPr>
            <w:tcW w:type="dxa" w:w="3484"/>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One batch.</w:t>
            </w:r>
          </w:p>
        </w:tc>
        <w:tc>
          <w:tcPr>
            <w:tcW w:type="dxa" w:w="4147"/>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Excellent founder-stage route for shelf-stable food/beverage testing when a larger automated co-packer...</w:t>
            </w:r>
          </w:p>
        </w:tc>
      </w:tr>
      <w:tr>
        <w:trPr>
          <w:cantSplit/>
        </w:trPr>
        <w:tc>
          <w:tcPr>
            <w:tcW w:type="dxa" w:w="2620"/>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MFG-C04</w:t>
              <w:br/>
              <w:t>Vital Eats</w:t>
            </w:r>
          </w:p>
        </w:tc>
        <w:tc>
          <w:tcPr>
            <w:tcW w:type="dxa" w:w="3484"/>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Bottled product: 80 gallons.</w:t>
            </w:r>
          </w:p>
        </w:tc>
        <w:tc>
          <w:tcPr>
            <w:tcW w:type="dxa" w:w="4147"/>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Best suited to food founders who have a commercially promising recipe and need a small professional...</w:t>
            </w:r>
          </w:p>
        </w:tc>
      </w:tr>
      <w:tr>
        <w:trPr>
          <w:cantSplit/>
        </w:trPr>
        <w:tc>
          <w:tcPr>
            <w:tcW w:type="dxa" w:w="2620"/>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MFG-C05</w:t>
              <w:br/>
              <w:t>Gf Blends</w:t>
            </w:r>
          </w:p>
        </w:tc>
        <w:tc>
          <w:tcPr>
            <w:tcW w:type="dxa" w:w="3484"/>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About 350 pounds per product, depending on the project.</w:t>
            </w:r>
          </w:p>
        </w:tc>
        <w:tc>
          <w:tcPr>
            <w:tcW w:type="dxa" w:w="4147"/>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Highly relevant for dry food, baking mix, seasoning, powdered beverage, and snack-mix founders whose...</w:t>
            </w:r>
          </w:p>
        </w:tc>
      </w:tr>
    </w:tbl>
    <w:p>
      <w:pPr>
        <w:widowControl/>
      </w:pPr>
      <w:r>
        <w:br w:type="page"/>
      </w:r>
    </w:p>
    <w:p>
      <w:pPr>
        <w:keepNext/>
        <w:widowControl/>
        <w:spacing w:before="0" w:after="60"/>
      </w:pPr>
      <w:r>
        <w:rPr>
          <w:rFonts w:ascii="Aptos" w:hAnsi="Aptos"/>
          <w:b/>
          <w:i w:val="0"/>
          <w:color w:val="3978D7"/>
          <w:sz w:val="16"/>
        </w:rPr>
        <w:t>MFG-C01 | BEVERAGE, FOOD + DRY BLENDS</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Protopackers</w:t>
            </w:r>
          </w:p>
          <w:p>
            <w:pPr>
              <w:keepLines/>
              <w:spacing w:before="0" w:after="0"/>
            </w:pPr>
            <w:r>
              <w:rPr>
                <w:rFonts w:ascii="Aptos" w:hAnsi="Aptos"/>
                <w:b/>
                <w:i w:val="0"/>
                <w:color w:val="DCEBFF"/>
                <w:sz w:val="17"/>
              </w:rPr>
              <w:t>Beverage | Ultra-short run co-packing</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Small-batch beverage co-packing for aluminum cans, PET bottles, digital labels, date coding, carbonation, custom pack-outs, variety packs, private label, and product experimentation. Cans range from 5.5 oz to 19.2 oz; bottles from 2 oz to 128 oz.</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One of the clearest research, sample, test-market, and pilot-run routes for a beverage founder who is not yet ready to commit to a large co-packer.</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Hero/sample runs start at $479, ingredients excluded. Co-packing programs start at $799 for 1-500 gallon batches. The site does not publish a finished-unit MOQ as one universal number.</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Company says 'fast turnaround' and states it can usually respond within 24 hours to a project message. Confirm production-calendar availability and finished-run schedule directly.</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Project intake team via contact form | (831) 200-4020 | Riverside, California. Public sales email not listed on the contact page.</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Beverage type, target format, formula status, carbonation/still decision, ingredient list, shelf-life question, packaging size, target retail price, and a test-market objective.</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Confirm food safety process, formula validation, acid/pH and process authority requirements, ingredients responsibility, labels, cases/pallets, shelf life, freight, deposits, and re-order rules.</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The advertised program price is not the full finished-product cost. Ingredients, cans/bottles, labels, testing, cases, and shipping may be separate.</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protopackers.com  |  Public-source check: July 1, 2026</w:t>
      </w:r>
    </w:p>
    <w:p>
      <w:pPr>
        <w:widowControl/>
      </w:pPr>
      <w:r>
        <w:br w:type="page"/>
      </w:r>
    </w:p>
    <w:p>
      <w:pPr>
        <w:keepNext/>
        <w:widowControl/>
        <w:spacing w:before="0" w:after="60"/>
      </w:pPr>
      <w:r>
        <w:rPr>
          <w:rFonts w:ascii="Aptos" w:hAnsi="Aptos"/>
          <w:b/>
          <w:i w:val="0"/>
          <w:color w:val="3978D7"/>
          <w:sz w:val="16"/>
        </w:rPr>
        <w:t>MFG-C02 | BEVERAGE, FOOD + DRY BLENDS</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Craftek Beverages</w:t>
            </w:r>
          </w:p>
          <w:p>
            <w:pPr>
              <w:keepLines/>
              <w:spacing w:before="0" w:after="0"/>
            </w:pPr>
            <w:r>
              <w:rPr>
                <w:rFonts w:ascii="Aptos" w:hAnsi="Aptos"/>
                <w:b/>
                <w:i w:val="0"/>
                <w:color w:val="DCEBFF"/>
                <w:sz w:val="17"/>
              </w:rPr>
              <w:t>Beverage | Boutique small-batch co-packer</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Formulation, small-batch production, canning, packaging, and project guidance for sparkling wellness drinks, functional beverages, THC beverages, and RTD concepts.</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Strong Southeast small-batch beverage option for founders who want a direct relationship with a production team, flexible pilot run, and a regional scale path.</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Pilot-run minimums begin at 160 cases for test markets. Project configuration, packaging, and formula still determine the full commercial requirement.</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Publicly positioned as flexible production with fast, reliable canning. The team says it typically responds to new project inquiries within 1-2 business days; production calendar timing is quote-required.</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Mike Bishop, Co-Owner &amp; Co-Founder, leads business development and production strategy. info@craftekbev.com | Project form. Public sales phone not verified.</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Product concept/formula, beverage category and regulatory status, target can/bottle format, first-run cases, retail/DTC strategy, ingredient needs, and desired launch date.</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Confirm formula development scope, THC/hemp-state compliance if relevant, beverage process/validation, ingredient sourcing, can/label procurement, case pack, timeline, terms, and co-packer insurance requirements.</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For functional, THC, alcohol-adjacent, or regulatory-sensitive beverages, separate legal/compliance advice is required; vendor capability is not legal clearance.</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craftekbev.com  |  Public-source check: July 1, 2026</w:t>
      </w:r>
    </w:p>
    <w:p>
      <w:pPr>
        <w:widowControl/>
      </w:pPr>
      <w:r>
        <w:br w:type="page"/>
      </w:r>
    </w:p>
    <w:p>
      <w:pPr>
        <w:keepNext/>
        <w:widowControl/>
        <w:spacing w:before="0" w:after="60"/>
      </w:pPr>
      <w:r>
        <w:rPr>
          <w:rFonts w:ascii="Aptos" w:hAnsi="Aptos"/>
          <w:b/>
          <w:i w:val="0"/>
          <w:color w:val="3978D7"/>
          <w:sz w:val="16"/>
        </w:rPr>
        <w:t>MFG-C03 | BEVERAGE, FOOD + DRY BLENDS</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Genuine Local</w:t>
            </w:r>
          </w:p>
          <w:p>
            <w:pPr>
              <w:keepLines/>
              <w:spacing w:before="0" w:after="0"/>
            </w:pPr>
            <w:r>
              <w:rPr>
                <w:rFonts w:ascii="Aptos" w:hAnsi="Aptos"/>
                <w:b/>
                <w:i w:val="0"/>
                <w:color w:val="DCEBFF"/>
                <w:sz w:val="17"/>
              </w:rPr>
              <w:t>Food + Beverage | Small-batch contract manufacturing</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Small-batch contract manufacturing for foods and beverages, plus recipe scaling, packaging/ingredient sourcing, label layout, and pricing development. Publicly emphasizes clean ingredients without artificial colors, preservatives, or flavorings.</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Excellent founder-stage route for shelf-stable food/beverage testing when a larger automated co-packer would force a premature inventory commitment.</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One batch. Food: about 36 gallons, estimated at 288 x 12 oz or 660 x 5 oz bottles. Beverage: about 65-70 gallons, estimated at 564 x 16 oz or 744 x 12 oz bottles.</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Usually 6-8 weeks to secure a production-calendar date. The company recommends booking ahead and notes a 50% deposit invoice is issued three weeks before production.</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Start Today / business development team. starttoday@genuinelocal.org | 603-279-8600 | Laconia, New Hampshire.</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Recipe, target fill size, packaging format, label draft, ingredient preferences, planned volume, target price, target market, and funds for the required deposit.</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Confirm product/process scope, formula ownership, process authority/food-safety requirements, label review, materials sourcing, deposit/balance terms, pickup/freight, storage, and re-order lead time.</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The 50% deposit structure and 6-8-week calendar wait should be built into cash-flow and launch planning, not treated as an afterthought.</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genuinelocal.org  |  Public-source check: July 1, 2026</w:t>
      </w:r>
    </w:p>
    <w:p>
      <w:pPr>
        <w:widowControl/>
      </w:pPr>
      <w:r>
        <w:br w:type="page"/>
      </w:r>
    </w:p>
    <w:p>
      <w:pPr>
        <w:keepNext/>
        <w:widowControl/>
        <w:spacing w:before="0" w:after="60"/>
      </w:pPr>
      <w:r>
        <w:rPr>
          <w:rFonts w:ascii="Aptos" w:hAnsi="Aptos"/>
          <w:b/>
          <w:i w:val="0"/>
          <w:color w:val="3978D7"/>
          <w:sz w:val="16"/>
        </w:rPr>
        <w:t>MFG-C04 | BEVERAGE, FOOD + DRY BLENDS</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Vital Eats</w:t>
            </w:r>
          </w:p>
          <w:p>
            <w:pPr>
              <w:keepLines/>
              <w:spacing w:before="0" w:after="0"/>
            </w:pPr>
            <w:r>
              <w:rPr>
                <w:rFonts w:ascii="Aptos" w:hAnsi="Aptos"/>
                <w:b/>
                <w:i w:val="0"/>
                <w:color w:val="DCEBFF"/>
                <w:sz w:val="17"/>
              </w:rPr>
              <w:t>Food | Hot/cold fill + dry goods</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Small-batch co-packing and private label for sauces, condiments, dressings, marinades, spice blends, and dry goods. Provides hot-fill and cold-fill bottling, dry-product packaging, recipe development/scaling, label/packaging help, nutrition panels, and FDA/NYS compliance support.</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Best suited to food founders who have a commercially promising recipe and need a small professional bottling or dry-mix production path without traditional factory-scale commitments.</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Bottled product: 80 gallons. Dry goods: 300 pounds. Custom branded runs are described as starting around $3,000 for events, fundraisers, and promotions.</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FAQ lists typical turnaround of 4-6 weeks depending on order size and materials. A process section also references 1-2-week production/bottling after approval; use the written quote as the governing schedule.</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Food co-packing inquiry team. info@vitaleats.com | Website contact page. A public sales phone was not verified in this edition.</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Recipe and product type, desired fill method, target packaging, label concept, ingredient sourcing plan, nutrition/claim needs, target unit economics, and funding for first run.</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Confirm food-safety/process requirements, hot versus cold fill feasibility, formula development scope, label-compliance responsibility, materials availability, project timeline, payment terms, storage, shipping, and recall process.</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A quoted 'turnaround' may refer to post-approval production, not the full time to formula, labels, materials, scheduling, and shipping.</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vitaleats.com  |  Public-source check: July 1, 2026</w:t>
      </w:r>
    </w:p>
    <w:p>
      <w:pPr>
        <w:widowControl/>
      </w:pPr>
      <w:r>
        <w:br w:type="page"/>
      </w:r>
    </w:p>
    <w:p>
      <w:pPr>
        <w:keepNext/>
        <w:widowControl/>
        <w:spacing w:before="0" w:after="60"/>
      </w:pPr>
      <w:r>
        <w:rPr>
          <w:rFonts w:ascii="Aptos" w:hAnsi="Aptos"/>
          <w:b/>
          <w:i w:val="0"/>
          <w:color w:val="3978D7"/>
          <w:sz w:val="16"/>
        </w:rPr>
        <w:t>MFG-C05 | BEVERAGE, FOOD + DRY BLENDS</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Gf Blends</w:t>
            </w:r>
          </w:p>
          <w:p>
            <w:pPr>
              <w:keepLines/>
              <w:spacing w:before="0" w:after="0"/>
            </w:pPr>
            <w:r>
              <w:rPr>
                <w:rFonts w:ascii="Aptos" w:hAnsi="Aptos"/>
                <w:b/>
                <w:i w:val="0"/>
                <w:color w:val="DCEBFF"/>
                <w:sz w:val="17"/>
              </w:rPr>
              <w:t>Dry food | Gluten-free blending + co-packing</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Dedicated gluten-free dry-mix facility providing product blending, co-packing, white/private label, recipe refinement, test-kitchen access, label printing/application, shipping, and order fulfillment. Supports package sizes from five grams to 50 pounds or more.</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Highly relevant for dry food, baking mix, seasoning, powdered beverage, and snack-mix founders whose product can be 90% dry and requires a gluten-free production environment.</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About 350 pounds per product, depending on the project. Public FAQ says the company is flexible and encourages founders to discuss their needs.</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First order: three weeks to two months depending on ingredients, labels, samples, and recipe finalization. Typical production: two weeks once the product is finalized.</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Glen / new-project team. gcall@gfblends.com | Main: 509-375-0909 | Glen direct: 509-308-0459 | Richland, Washington.</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Dry-product specification, allergen constraints, formula/ingredient list, desired package size, labels, pack count, projected pounds, distribution channel, and final-sample approval process.</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Confirm allergen policy, gluten testing, packaging options, ingredient sourcing, label print/affix scope, inventory/fulfillment fees, minimum re-order, lead time, and shipping to distributor/retailer.</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This is a dry-mixing facility, not a wet-manufacturing partner. It will not produce products containing gluten, and it will not produce peanuts or soy.</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gfblends.com  |  Public-source check: July 1, 2026</w:t>
      </w:r>
    </w:p>
    <w:p>
      <w:pPr>
        <w:widowControl/>
      </w:pPr>
      <w:r>
        <w:br w:type="page"/>
      </w:r>
    </w:p>
    <w:p>
      <w:pPr>
        <w:keepNext/>
        <w:widowControl/>
        <w:spacing w:before="0" w:after="60"/>
      </w:pPr>
      <w:r>
        <w:rPr>
          <w:rFonts w:ascii="Aptos" w:hAnsi="Aptos"/>
          <w:b/>
          <w:i w:val="0"/>
          <w:color w:val="3978D7"/>
          <w:sz w:val="16"/>
        </w:rPr>
        <w:t>07 | PARTNER CATEGORY</w:t>
      </w:r>
    </w:p>
    <w:p>
      <w:pPr>
        <w:keepNext/>
        <w:widowControl/>
        <w:spacing w:before="0" w:after="80"/>
      </w:pPr>
      <w:r>
        <w:rPr>
          <w:rFonts w:ascii="Aptos Display" w:hAnsi="Aptos Display"/>
          <w:b/>
          <w:i w:val="0"/>
          <w:color w:val="071E41"/>
          <w:sz w:val="40"/>
        </w:rPr>
        <w:t>3PL + Fulfillment</w:t>
      </w:r>
    </w:p>
    <w:p>
      <w:pPr>
        <w:keepNext/>
        <w:widowControl/>
        <w:spacing w:before="0" w:after="200" w:line="252" w:lineRule="auto"/>
      </w:pPr>
      <w:r>
        <w:rPr>
          <w:rFonts w:ascii="Aptos" w:hAnsi="Aptos"/>
          <w:b w:val="0"/>
          <w:i w:val="0"/>
          <w:color w:val="4B5563"/>
          <w:sz w:val="17"/>
        </w:rPr>
        <w:t>A 3PL relationship is a pricing, software, service-level, inventory-control, and customer-experience decision. A low headline rate is not meaningful without a complete cost-to-serve model.</w:t>
      </w:r>
    </w:p>
    <w:tbl>
      <w:tblPr>
        <w:tblW w:type="auto" w:w="0"/>
        <w:jc w:val="left"/>
        <w:tblLayout w:type="fixed"/>
        <w:tblLook w:firstColumn="1" w:firstRow="1" w:lastColumn="0" w:lastRow="0" w:noHBand="0" w:noVBand="1" w:val="04A0"/>
      </w:tblPr>
      <w:tblGrid>
        <w:gridCol w:w="10252"/>
      </w:tblGrid>
      <w:tr>
        <w:tc>
          <w:tcPr>
            <w:tcW w:type="dxa" w:w="1512"/>
            <w:shd w:fill="3978D7" w:val="clear"/>
            <w:tcMar>
              <w:top w:w="15" w:type="dxa"/>
              <w:start w:w="0" w:type="dxa"/>
              <w:bottom w:w="15" w:type="dxa"/>
              <w:end w:w="0" w:type="dxa"/>
            </w:tcMar>
          </w:tcPr>
          <w:p>
            <w:r/>
          </w:p>
        </w:tc>
      </w:tr>
    </w:tbl>
    <w:p>
      <w:pPr>
        <w:widowControl/>
        <w:spacing w:after="40"/>
      </w:pPr>
    </w:p>
    <w:tbl>
      <w:tblPr>
        <w:tblW w:type="auto" w:w="0"/>
        <w:jc w:val="center"/>
        <w:tblLayout w:type="fixed"/>
        <w:tblLook w:firstColumn="1" w:firstRow="1" w:lastColumn="0" w:lastRow="0" w:noHBand="0" w:noVBand="1" w:val="04A0"/>
      </w:tblPr>
      <w:tblGrid>
        <w:gridCol w:w="3417"/>
        <w:gridCol w:w="3417"/>
        <w:gridCol w:w="3417"/>
      </w:tblGrid>
      <w:tr>
        <w:tc>
          <w:tcPr>
            <w:tcW w:type="dxa" w:w="3417"/>
            <w:shd w:fill="EFF5FF" w:val="clear"/>
            <w:tcBorders>
              <w:top w:val="single" w:sz="7" w:color="3978D7"/>
              <w:left w:val="single" w:sz="4" w:color="FFFFFF"/>
              <w:bottom w:val="single" w:sz="7" w:color="3978D7"/>
              <w:right w:val="single" w:sz="4" w:color="FFFFFF"/>
            </w:tcBorders>
            <w:tcMar>
              <w:top w:w="100" w:type="dxa"/>
              <w:start w:w="110" w:type="dxa"/>
              <w:bottom w:w="100" w:type="dxa"/>
              <w:end w:w="110" w:type="dxa"/>
            </w:tcMar>
          </w:tcPr>
          <w:p>
            <w:pPr>
              <w:keepLines/>
              <w:spacing w:before="0" w:after="40"/>
            </w:pPr>
            <w:r/>
            <w:r>
              <w:rPr>
                <w:rFonts w:ascii="Aptos" w:hAnsi="Aptos"/>
                <w:b/>
                <w:i w:val="0"/>
                <w:color w:val="071E41"/>
                <w:sz w:val="14"/>
              </w:rPr>
              <w:t>MAP THE ACTUAL ORDER PROFILE</w:t>
            </w:r>
          </w:p>
          <w:p>
            <w:pPr>
              <w:keepLines/>
              <w:spacing w:before="0" w:after="0" w:line="240" w:lineRule="auto"/>
            </w:pPr>
            <w:r>
              <w:rPr>
                <w:rFonts w:ascii="Aptos" w:hAnsi="Aptos"/>
                <w:b w:val="0"/>
                <w:i w:val="0"/>
                <w:color w:val="1E2730"/>
                <w:sz w:val="16"/>
              </w:rPr>
              <w:t>Include SKUs, dimensions, weights, monthly orders, items per order, marketplace/retail needs, and seasonality.</w:t>
            </w:r>
          </w:p>
        </w:tc>
        <w:tc>
          <w:tcPr>
            <w:tcW w:type="dxa" w:w="3417"/>
            <w:shd w:fill="F5F8FC" w:val="clear"/>
            <w:tcBorders>
              <w:top w:val="single" w:sz="7" w:color="3978D7"/>
              <w:left w:val="single" w:sz="4" w:color="FFFFFF"/>
              <w:bottom w:val="single" w:sz="7" w:color="3978D7"/>
              <w:right w:val="single" w:sz="4" w:color="FFFFFF"/>
            </w:tcBorders>
            <w:tcMar>
              <w:top w:w="100" w:type="dxa"/>
              <w:start w:w="110" w:type="dxa"/>
              <w:bottom w:w="100" w:type="dxa"/>
              <w:end w:w="110" w:type="dxa"/>
            </w:tcMar>
          </w:tcPr>
          <w:p>
            <w:pPr>
              <w:keepLines/>
              <w:spacing w:before="0" w:after="40"/>
            </w:pPr>
            <w:r/>
            <w:r>
              <w:rPr>
                <w:rFonts w:ascii="Aptos" w:hAnsi="Aptos"/>
                <w:b/>
                <w:i w:val="0"/>
                <w:color w:val="071E41"/>
                <w:sz w:val="14"/>
              </w:rPr>
              <w:t>PRICE THE FULL SERVICE STACK</w:t>
            </w:r>
          </w:p>
          <w:p>
            <w:pPr>
              <w:keepLines/>
              <w:spacing w:before="0" w:after="0" w:line="240" w:lineRule="auto"/>
            </w:pPr>
            <w:r>
              <w:rPr>
                <w:rFonts w:ascii="Aptos" w:hAnsi="Aptos"/>
                <w:b w:val="0"/>
                <w:i w:val="0"/>
                <w:color w:val="1E2730"/>
                <w:sz w:val="16"/>
              </w:rPr>
              <w:t>Receiving, storage, pick/pack, inserts, account fees, packaging, shipping, returns, and peak surcharges need to be visible in one model.</w:t>
            </w:r>
          </w:p>
        </w:tc>
        <w:tc>
          <w:tcPr>
            <w:tcW w:type="dxa" w:w="3417"/>
            <w:shd w:fill="EFF5FF" w:val="clear"/>
            <w:tcBorders>
              <w:top w:val="single" w:sz="7" w:color="3978D7"/>
              <w:left w:val="single" w:sz="4" w:color="FFFFFF"/>
              <w:bottom w:val="single" w:sz="7" w:color="3978D7"/>
              <w:right w:val="single" w:sz="4" w:color="FFFFFF"/>
            </w:tcBorders>
            <w:tcMar>
              <w:top w:w="100" w:type="dxa"/>
              <w:start w:w="110" w:type="dxa"/>
              <w:bottom w:w="100" w:type="dxa"/>
              <w:end w:w="110" w:type="dxa"/>
            </w:tcMar>
          </w:tcPr>
          <w:p>
            <w:pPr>
              <w:keepLines/>
              <w:spacing w:before="0" w:after="40"/>
            </w:pPr>
            <w:r/>
            <w:r>
              <w:rPr>
                <w:rFonts w:ascii="Aptos" w:hAnsi="Aptos"/>
                <w:b/>
                <w:i w:val="0"/>
                <w:color w:val="071E41"/>
                <w:sz w:val="14"/>
              </w:rPr>
              <w:t>PROTECT THE CUSTOMER EXPERIENCE</w:t>
            </w:r>
          </w:p>
          <w:p>
            <w:pPr>
              <w:keepLines/>
              <w:spacing w:before="0" w:after="0" w:line="240" w:lineRule="auto"/>
            </w:pPr>
            <w:r>
              <w:rPr>
                <w:rFonts w:ascii="Aptos" w:hAnsi="Aptos"/>
                <w:b w:val="0"/>
                <w:i w:val="0"/>
                <w:color w:val="1E2730"/>
                <w:sz w:val="16"/>
              </w:rPr>
              <w:t>Ask about inventory accuracy, SLAs, reporting, integrations, claims, returns, branded inserts, lot/expiry, and escalation process.</w:t>
            </w:r>
          </w:p>
        </w:tc>
      </w:tr>
    </w:tbl>
    <w:p>
      <w:pPr>
        <w:widowControl/>
        <w:spacing w:after="60"/>
      </w:pPr>
    </w:p>
    <w:tbl>
      <w:tblPr>
        <w:tblW w:type="auto" w:w="0"/>
        <w:jc w:val="center"/>
        <w:tblLayout w:type="fixed"/>
        <w:tblLook w:firstColumn="1" w:firstRow="1" w:lastColumn="0" w:lastRow="0" w:noHBand="0" w:noVBand="1" w:val="04A0"/>
      </w:tblPr>
      <w:tblGrid>
        <w:gridCol w:w="10252"/>
      </w:tblGrid>
      <w:tr>
        <w:tc>
          <w:tcPr>
            <w:tcW w:type="dxa" w:w="10252"/>
            <w:shd w:fill="FFF5E7" w:val="clear"/>
            <w:tcBorders>
              <w:top w:val="single" w:sz="10" w:color="C89B2C"/>
              <w:left w:val="single" w:sz="10" w:color="C89B2C"/>
              <w:bottom w:val="single" w:sz="10" w:color="C89B2C"/>
              <w:right w:val="single" w:sz="10" w:color="C89B2C"/>
            </w:tcBorders>
            <w:tcMar>
              <w:top w:w="110" w:type="dxa"/>
              <w:start w:w="130" w:type="dxa"/>
              <w:bottom w:w="110" w:type="dxa"/>
              <w:end w:w="130" w:type="dxa"/>
            </w:tcMar>
          </w:tcPr>
          <w:p>
            <w:pPr>
              <w:keepLines/>
              <w:spacing w:before="0" w:after="40"/>
            </w:pPr>
            <w:r/>
            <w:r>
              <w:rPr>
                <w:rFonts w:ascii="Aptos" w:hAnsi="Aptos"/>
                <w:b/>
                <w:i w:val="0"/>
                <w:color w:val="C89B2C"/>
                <w:sz w:val="16"/>
              </w:rPr>
              <w:t>FOUNDER DECISION CUE</w:t>
            </w:r>
          </w:p>
          <w:p>
            <w:pPr>
              <w:keepLines/>
              <w:spacing w:before="0" w:after="0" w:line="247" w:lineRule="auto"/>
            </w:pPr>
            <w:r>
              <w:rPr>
                <w:rFonts w:ascii="Aptos" w:hAnsi="Aptos"/>
                <w:b w:val="0"/>
                <w:i w:val="0"/>
                <w:color w:val="1E2730"/>
                <w:sz w:val="17"/>
              </w:rPr>
              <w:t>A 3PL becomes appropriate when founder time, order volume, shipping accuracy, retail complexity, or customer-experience risk begins to outweigh the value of self-fulfillment. Move only when the operating model, forecast, and cost-to-serve view support the decision.</w:t>
            </w:r>
          </w:p>
        </w:tc>
      </w:tr>
    </w:tbl>
    <w:p>
      <w:pPr>
        <w:widowControl/>
        <w:spacing w:after="40"/>
      </w:pPr>
    </w:p>
    <w:p>
      <w:pPr>
        <w:widowControl/>
        <w:spacing w:after="100"/>
      </w:pPr>
    </w:p>
    <w:p>
      <w:pPr>
        <w:keepNext/>
        <w:widowControl/>
        <w:spacing w:before="200" w:after="80"/>
      </w:pPr>
      <w:r>
        <w:rPr>
          <w:rFonts w:ascii="Aptos Display" w:hAnsi="Aptos Display"/>
          <w:b/>
          <w:i w:val="0"/>
          <w:color w:val="071E41"/>
          <w:sz w:val="25"/>
        </w:rPr>
        <w:t>Category Quick Match</w:t>
      </w:r>
    </w:p>
    <w:tbl>
      <w:tblPr>
        <w:tblW w:type="auto" w:w="0"/>
        <w:jc w:val="center"/>
        <w:tblLayout w:type="fixed"/>
        <w:tblLook w:firstColumn="1" w:firstRow="1" w:lastColumn="0" w:lastRow="0" w:noHBand="0" w:noVBand="1" w:val="04A0"/>
      </w:tblPr>
      <w:tblGrid>
        <w:gridCol w:w="3417"/>
        <w:gridCol w:w="3417"/>
        <w:gridCol w:w="3417"/>
      </w:tblGrid>
      <w:tr>
        <w:trPr>
          <w:tblHeader w:val="true"/>
        </w:trPr>
        <w:tc>
          <w:tcPr>
            <w:tcW w:type="dxa" w:w="2620"/>
            <w:shd w:fill="071E41" w:val="clear"/>
            <w:tcMar>
              <w:top w:w="60" w:type="dxa"/>
              <w:start w:w="70" w:type="dxa"/>
              <w:bottom w:w="60" w:type="dxa"/>
              <w:end w:w="70" w:type="dxa"/>
            </w:tcMar>
          </w:tcPr>
          <w:p>
            <w:pPr>
              <w:spacing w:before="0" w:after="0"/>
            </w:pPr>
            <w:r/>
            <w:r>
              <w:rPr>
                <w:rFonts w:ascii="Aptos" w:hAnsi="Aptos"/>
                <w:b/>
                <w:i w:val="0"/>
                <w:color w:val="FFFFFF"/>
                <w:sz w:val="13"/>
              </w:rPr>
              <w:t>PARTNER</w:t>
            </w:r>
          </w:p>
        </w:tc>
        <w:tc>
          <w:tcPr>
            <w:tcW w:type="dxa" w:w="3484"/>
            <w:shd w:fill="071E41" w:val="clear"/>
            <w:tcMar>
              <w:top w:w="60" w:type="dxa"/>
              <w:start w:w="70" w:type="dxa"/>
              <w:bottom w:w="60" w:type="dxa"/>
              <w:end w:w="70" w:type="dxa"/>
            </w:tcMar>
          </w:tcPr>
          <w:p>
            <w:pPr>
              <w:spacing w:before="0" w:after="0"/>
            </w:pPr>
            <w:r/>
            <w:r>
              <w:rPr>
                <w:rFonts w:ascii="Aptos" w:hAnsi="Aptos"/>
                <w:b/>
                <w:i w:val="0"/>
                <w:color w:val="FFFFFF"/>
                <w:sz w:val="13"/>
              </w:rPr>
              <w:t>PUBLISHED STARTING SIGNAL</w:t>
            </w:r>
          </w:p>
        </w:tc>
        <w:tc>
          <w:tcPr>
            <w:tcW w:type="dxa" w:w="4147"/>
            <w:shd w:fill="071E41" w:val="clear"/>
            <w:tcMar>
              <w:top w:w="60" w:type="dxa"/>
              <w:start w:w="70" w:type="dxa"/>
              <w:bottom w:w="60" w:type="dxa"/>
              <w:end w:w="70" w:type="dxa"/>
            </w:tcMar>
          </w:tcPr>
          <w:p>
            <w:pPr>
              <w:spacing w:before="0" w:after="0"/>
            </w:pPr>
            <w:r/>
            <w:r>
              <w:rPr>
                <w:rFonts w:ascii="Aptos" w:hAnsi="Aptos"/>
                <w:b/>
                <w:i w:val="0"/>
                <w:color w:val="FFFFFF"/>
                <w:sz w:val="13"/>
              </w:rPr>
              <w:t>WHY ASSESS THIS ROUTE</w:t>
            </w:r>
          </w:p>
        </w:tc>
      </w:tr>
      <w:tr>
        <w:trPr>
          <w:cantSplit/>
        </w:trPr>
        <w:tc>
          <w:tcPr>
            <w:tcW w:type="dxa" w:w="2620"/>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FUL-01</w:t>
              <w:br/>
              <w:t>Efulfillment Service</w:t>
            </w:r>
          </w:p>
        </w:tc>
        <w:tc>
          <w:tcPr>
            <w:tcW w:type="dxa" w:w="3484"/>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No setup fees, no minimum order requirements, no integration fees, and no long-term contracts...</w:t>
            </w:r>
          </w:p>
        </w:tc>
        <w:tc>
          <w:tcPr>
            <w:tcW w:type="dxa" w:w="4147"/>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One of the clearest low-friction 3PL starting points for DTC founders who want to outsource operations...</w:t>
            </w:r>
          </w:p>
        </w:tc>
      </w:tr>
      <w:tr>
        <w:trPr>
          <w:cantSplit/>
        </w:trPr>
        <w:tc>
          <w:tcPr>
            <w:tcW w:type="dxa" w:w="2620"/>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FUL-02</w:t>
              <w:br/>
              <w:t>Oc3Pl</w:t>
            </w:r>
          </w:p>
        </w:tc>
        <w:tc>
          <w:tcPr>
            <w:tcW w:type="dxa" w:w="3484"/>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Publicly states no setup fees and no hidden minimums.</w:t>
            </w:r>
          </w:p>
        </w:tc>
        <w:tc>
          <w:tcPr>
            <w:tcW w:type="dxa" w:w="4147"/>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A strong choice for DTC brands that need transparent quote discipline, no-volume-minimum positioning,...</w:t>
            </w:r>
          </w:p>
        </w:tc>
      </w:tr>
      <w:tr>
        <w:trPr>
          <w:cantSplit/>
        </w:trPr>
        <w:tc>
          <w:tcPr>
            <w:tcW w:type="dxa" w:w="2620"/>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FUL-03</w:t>
              <w:br/>
              <w:t>Otw Shipping</w:t>
            </w:r>
          </w:p>
        </w:tc>
        <w:tc>
          <w:tcPr>
            <w:tcW w:type="dxa" w:w="3484"/>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Company publicly markets low monthly minimums and no account/setup fees; no universal...</w:t>
            </w:r>
          </w:p>
        </w:tc>
        <w:tc>
          <w:tcPr>
            <w:tcW w:type="dxa" w:w="4147"/>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A practical conversation for founders who want a relationship-oriented ecommerce 3PL with low monthly...</w:t>
            </w:r>
          </w:p>
        </w:tc>
      </w:tr>
      <w:tr>
        <w:trPr>
          <w:cantSplit/>
        </w:trPr>
        <w:tc>
          <w:tcPr>
            <w:tcW w:type="dxa" w:w="2620"/>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FUL-04</w:t>
              <w:br/>
              <w:t>Usa Fulfillment</w:t>
            </w:r>
          </w:p>
        </w:tc>
        <w:tc>
          <w:tcPr>
            <w:tcW w:type="dxa" w:w="3484"/>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No public order minimum or onboarding threshold was verified.</w:t>
            </w:r>
          </w:p>
        </w:tc>
        <w:tc>
          <w:tcPr>
            <w:tcW w:type="dxa" w:w="4147"/>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A category-relevant conversation for supplement, wellness, beauty, and health-adjacent brands that need...</w:t>
            </w:r>
          </w:p>
        </w:tc>
      </w:tr>
      <w:tr>
        <w:trPr>
          <w:cantSplit/>
        </w:trPr>
        <w:tc>
          <w:tcPr>
            <w:tcW w:type="dxa" w:w="2620"/>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FUL-05</w:t>
              <w:br/>
              <w:t>Shipmonk</w:t>
            </w:r>
          </w:p>
        </w:tc>
        <w:tc>
          <w:tcPr>
            <w:tcW w:type="dxa" w:w="3484"/>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The quote form accepts volume bands beginning at 1-499 orders per month; the company does not...</w:t>
            </w:r>
          </w:p>
        </w:tc>
        <w:tc>
          <w:tcPr>
            <w:tcW w:type="dxa" w:w="4147"/>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A better fit when a brand is moving toward more complex omnichannel execution, multiple channels, or...</w:t>
            </w:r>
          </w:p>
        </w:tc>
      </w:tr>
    </w:tbl>
    <w:p>
      <w:pPr>
        <w:widowControl/>
      </w:pPr>
      <w:r>
        <w:br w:type="page"/>
      </w:r>
    </w:p>
    <w:p>
      <w:pPr>
        <w:keepNext/>
        <w:widowControl/>
        <w:spacing w:before="0" w:after="60"/>
      </w:pPr>
      <w:r>
        <w:rPr>
          <w:rFonts w:ascii="Aptos" w:hAnsi="Aptos"/>
          <w:b/>
          <w:i w:val="0"/>
          <w:color w:val="3978D7"/>
          <w:sz w:val="16"/>
        </w:rPr>
        <w:t>FUL-01 | 3PL + FULFILLMENT</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Efulfillment Service</w:t>
            </w:r>
          </w:p>
          <w:p>
            <w:pPr>
              <w:keepLines/>
              <w:spacing w:before="0" w:after="0"/>
            </w:pPr>
            <w:r>
              <w:rPr>
                <w:rFonts w:ascii="Aptos" w:hAnsi="Aptos"/>
                <w:b/>
                <w:i w:val="0"/>
                <w:color w:val="DCEBFF"/>
                <w:sz w:val="17"/>
              </w:rPr>
              <w:t>3PL | Early-stage ecommerce</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Ecommerce fulfillment, inventory storage, returns, kitting, FBA prep, retail fulfillment, subscription, crowdfunding, beauty/cosmetics, consumer goods, marketplace support, and integrations.</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One of the clearest low-friction 3PL starting points for DTC founders who want to outsource operations without an order-minimum or long-term-contract barrier.</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No setup fees, no minimum order requirements, no integration fees, and no long-term contracts are publicly stated. Rates are quote-based by product/workflow.</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No standard onboarding window is published. Use the quote process to ask about receiving lead time, Shopify/Amazon integration, first outbound order, and launch-week support.</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Get A Quote / intake team. Phone: 1-866-922-6783. A public sales email was not displayed on the verified contact page.</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SKU list, dimensions/weights, order history or forecast, fulfillment channels, packaging/insert requirements, returns policy, monthly storage estimate, and inbound shipment plan.</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Ask for all-in cost per order, pick/pack, storage, receiving, kitting, returns, integration, account/technology fees, carrier options, shipping cutoffs, SLA, peak season, and exit terms.</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No order minimum does not eliminate variable costs. Model cost-to-serve by order, per-SKU complexity, returns, storage, and packaging before moving inventory.</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efulfillmentservice.com  |  Public-source check: July 1, 2026</w:t>
      </w:r>
    </w:p>
    <w:p>
      <w:pPr>
        <w:widowControl/>
      </w:pPr>
      <w:r>
        <w:br w:type="page"/>
      </w:r>
    </w:p>
    <w:p>
      <w:pPr>
        <w:keepNext/>
        <w:widowControl/>
        <w:spacing w:before="0" w:after="60"/>
      </w:pPr>
      <w:r>
        <w:rPr>
          <w:rFonts w:ascii="Aptos" w:hAnsi="Aptos"/>
          <w:b/>
          <w:i w:val="0"/>
          <w:color w:val="3978D7"/>
          <w:sz w:val="16"/>
        </w:rPr>
        <w:t>FUL-02 | 3PL + FULFILLMENT</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Oc3Pl</w:t>
            </w:r>
          </w:p>
          <w:p>
            <w:pPr>
              <w:keepLines/>
              <w:spacing w:before="0" w:after="0"/>
            </w:pPr>
            <w:r>
              <w:rPr>
                <w:rFonts w:ascii="Aptos" w:hAnsi="Aptos"/>
                <w:b/>
                <w:i w:val="0"/>
                <w:color w:val="DCEBFF"/>
                <w:sz w:val="17"/>
              </w:rPr>
              <w:t>3PL | Startup DTC, retail + kitting</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Ecommerce order fulfillment, retail/wholesale fulfillment, subscription boxes and drops, apparel fulfillment, startup support, FBA prep, custom kitting and assembly, and packaging/shipping guidance.</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A strong choice for DTC brands that need transparent quote discipline, no-volume-minimum positioning, custom kits, and the ability to expand into retail/wholesale workflows.</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Publicly states no setup fees and no hidden minimums. Startup page states flexible storage with no volume minimums. Custom kitting is scoped by brand cadence.</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Marketing refers to rapid onboarding but does not publish a universal project duration. Ask for onboarding, receiving, integration, and first-ship timing in writing.</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Fulfillment Strategist. hello@oc3pl.com | 949-424-0790 | Schedule-a-call / intake path.</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Product dimensions/weights, SKU count, order profile, channel mix, launch date, warehouse intake plan, packaging standards, retailer/customer SLA needs, and return rules.</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Require line-item quote details; clarify pick/pack, storage location type, inbounds, cartons/pallets, kitting, retailer compliance, EDI, returns, shipping account, inventory counts, and contract exit terms.</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A 'no minimums' positioning does not guarantee the same cost profile for every service. Kitting, retail compliance, and complex SKU workflows should be separately priced.</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oc3pl.com  |  Public-source check: July 1, 2026</w:t>
      </w:r>
    </w:p>
    <w:p>
      <w:pPr>
        <w:widowControl/>
      </w:pPr>
      <w:r>
        <w:br w:type="page"/>
      </w:r>
    </w:p>
    <w:p>
      <w:pPr>
        <w:keepNext/>
        <w:widowControl/>
        <w:spacing w:before="0" w:after="60"/>
      </w:pPr>
      <w:r>
        <w:rPr>
          <w:rFonts w:ascii="Aptos" w:hAnsi="Aptos"/>
          <w:b/>
          <w:i w:val="0"/>
          <w:color w:val="3978D7"/>
          <w:sz w:val="16"/>
        </w:rPr>
        <w:t>FUL-03 | 3PL + FULFILLMENT</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Otw Shipping</w:t>
            </w:r>
          </w:p>
          <w:p>
            <w:pPr>
              <w:keepLines/>
              <w:spacing w:before="0" w:after="0"/>
            </w:pPr>
            <w:r>
              <w:rPr>
                <w:rFonts w:ascii="Aptos" w:hAnsi="Aptos"/>
                <w:b/>
                <w:i w:val="0"/>
                <w:color w:val="DCEBFF"/>
                <w:sz w:val="17"/>
              </w:rPr>
              <w:t>3PL | Ecommerce, crowdfunding + retail</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DTC ecommerce, crowdfunding, subscriptions, dropshipping, retail fulfillment, Amazon prep, kitting, climate-controlled storage, carrier shipping, and multi-location support.</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A practical conversation for founders who want a relationship-oriented ecommerce 3PL with low monthly minimum positioning and no account/setup fees.</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Company publicly markets low monthly minimums and no account/setup fees; no universal dollar/order minimum was verified for this edition.</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Project/onboarding timing is quote-required. Confirm inbound receiving appointments, integration, first-order shipping, shipping cutoff, and any launch constraints.</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New client team. team@otwshipping.com | 801-228-0245 | Salt Lake City and East Hartford operating locations.</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SKU/packout data, monthly order forecast, ecommerce/marketplace channels, inbound plan, storage estimate, return rules, retailer needs, subscription/kitting specifications, and launch timing.</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Confirm rate card, monthly minimum, per-order/per-item charge, receiving, storage, packaging, returns, Amazon/retail prep, carrier pass-throughs, minimum term, and client support structure.</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Low monthly minimum is not equivalent to no minimum. Ask for the minimum, how it is applied, and the financial consequence if the brand has a slow month.</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otwshipping.com  |  Public-source check: July 1, 2026</w:t>
      </w:r>
    </w:p>
    <w:p>
      <w:pPr>
        <w:widowControl/>
      </w:pPr>
      <w:r>
        <w:br w:type="page"/>
      </w:r>
    </w:p>
    <w:p>
      <w:pPr>
        <w:keepNext/>
        <w:widowControl/>
        <w:spacing w:before="0" w:after="60"/>
      </w:pPr>
      <w:r>
        <w:rPr>
          <w:rFonts w:ascii="Aptos" w:hAnsi="Aptos"/>
          <w:b/>
          <w:i w:val="0"/>
          <w:color w:val="3978D7"/>
          <w:sz w:val="16"/>
        </w:rPr>
        <w:t>FUL-04 | 3PL + FULFILLMENT</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Usa Fulfillment</w:t>
            </w:r>
          </w:p>
          <w:p>
            <w:pPr>
              <w:keepLines/>
              <w:spacing w:before="0" w:after="0"/>
            </w:pPr>
            <w:r>
              <w:rPr>
                <w:rFonts w:ascii="Aptos" w:hAnsi="Aptos"/>
                <w:b/>
                <w:i w:val="0"/>
                <w:color w:val="DCEBFF"/>
                <w:sz w:val="17"/>
              </w:rPr>
              <w:t>3PL | Supplements, health + beauty</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Third-party logistics, dietary-supplement fulfillment, health and beauty fulfillment, ecommerce, retail/consumer fulfillment, pick-and-pack, and shipping services. Public site describes FDA-registered food-grade facility and cGMP practices for supplements.</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A category-relevant conversation for supplement, wellness, beauty, and health-adjacent brands that need more mature operational attention to lot, expiry, and regulated-inventory handling.</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No public order minimum or onboarding threshold was verified. Request a quote based on product type, lot/expiry needs, channel mix, and storage profile.</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No standard onboarding lead time is published. Ask for compliance setup, warehouse receiving, lot tracking, channel integration, and initial fulfillment timing.</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Health &amp; Beauty / new-client team. info@usafill.com | 800-777-8872 | Dover, Delaware.</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Lot/expiry requirements, SKU and case/pallet data, temperature/storage needs, ecommerce/retail channels, order and return forecast, product documentation, and freight/inbound process.</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Confirm regulated-product SOPs, lot/expiry controls, FEFO/FIFO, recall support, temperature handling, carrier cutoffs, retail/EDI capability, pricing, insurance, and reporting access.</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FDA registration and a category fit do not replace a founder's legal, quality, or regulatory responsibility. Verify the exact compliance requirements for the brand's product.</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usafill.com  |  Public-source check: July 1, 2026</w:t>
      </w:r>
    </w:p>
    <w:p>
      <w:pPr>
        <w:widowControl/>
      </w:pPr>
      <w:r>
        <w:br w:type="page"/>
      </w:r>
    </w:p>
    <w:p>
      <w:pPr>
        <w:keepNext/>
        <w:widowControl/>
        <w:spacing w:before="0" w:after="60"/>
      </w:pPr>
      <w:r>
        <w:rPr>
          <w:rFonts w:ascii="Aptos" w:hAnsi="Aptos"/>
          <w:b/>
          <w:i w:val="0"/>
          <w:color w:val="3978D7"/>
          <w:sz w:val="16"/>
        </w:rPr>
        <w:t>FUL-05 | 3PL + FULFILLMENT</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Shipmonk</w:t>
            </w:r>
          </w:p>
          <w:p>
            <w:pPr>
              <w:keepLines/>
              <w:spacing w:before="0" w:after="0"/>
            </w:pPr>
            <w:r>
              <w:rPr>
                <w:rFonts w:ascii="Aptos" w:hAnsi="Aptos"/>
                <w:b/>
                <w:i w:val="0"/>
                <w:color w:val="DCEBFF"/>
                <w:sz w:val="17"/>
              </w:rPr>
              <w:t>3PL | Omnichannel scale path</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DTC ecommerce fulfillment, storage, pick/pack, returns, marketplace and B2B workflows, integrations, technology/WMS support, global operations, and selected category-specific services such as apparel and supplements.</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A better fit when a brand is moving toward more complex omnichannel execution, multiple channels, or stronger inventory/fulfillment technology needs - not simply because the brand wants to appear larger.</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The quote form accepts volume bands beginning at 1-499 orders per month; the company does not publish one universal order minimum in the sources reviewed.</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Quote and implementation timing are project-specific. Ask for system setup, inbound receiving, channel/EDI integration, inventory migration, launch support, and escalation process.</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Speak to an Expert / Get a Quote route. A public named sales leader, sales email, and sales phone were not verified in this edition.</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Channel plan, SKU complexity, historical and forecast order volume, fulfillment geography, retail/B2B requirements, integration needs, return rules, lot/expiry needs, and working-capital plan.</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Break out all fees: receiving, storage, pick/pack, packaging, minimums, technology, integrations, returns, B2B, freight, account management, SLA credits, implementation, and termination.</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Do not choose a more complex 3PL before the brand has a disciplined forecast, SKU data, inventory plan, and understanding of its cost-to-serve.</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shipmonk.com  |  Public-source check: July 1, 2026</w:t>
      </w:r>
    </w:p>
    <w:p>
      <w:pPr>
        <w:widowControl/>
      </w:pPr>
      <w:r>
        <w:br w:type="page"/>
      </w:r>
    </w:p>
    <w:p>
      <w:pPr>
        <w:keepNext/>
        <w:widowControl/>
        <w:spacing w:before="0" w:after="60"/>
      </w:pPr>
      <w:r>
        <w:rPr>
          <w:rFonts w:ascii="Aptos" w:hAnsi="Aptos"/>
          <w:b/>
          <w:i w:val="0"/>
          <w:color w:val="3978D7"/>
          <w:sz w:val="16"/>
        </w:rPr>
        <w:t>08 | PARTNER CATEGORY</w:t>
      </w:r>
    </w:p>
    <w:p>
      <w:pPr>
        <w:keepNext/>
        <w:widowControl/>
        <w:spacing w:before="0" w:after="80"/>
      </w:pPr>
      <w:r>
        <w:rPr>
          <w:rFonts w:ascii="Aptos Display" w:hAnsi="Aptos Display"/>
          <w:b/>
          <w:i w:val="0"/>
          <w:color w:val="071E41"/>
          <w:sz w:val="40"/>
        </w:rPr>
        <w:t>Flexible Warehousing + Co-Warehousing</w:t>
      </w:r>
    </w:p>
    <w:p>
      <w:pPr>
        <w:keepNext/>
        <w:widowControl/>
        <w:spacing w:before="0" w:after="200" w:line="252" w:lineRule="auto"/>
      </w:pPr>
      <w:r>
        <w:rPr>
          <w:rFonts w:ascii="Aptos" w:hAnsi="Aptos"/>
          <w:b w:val="0"/>
          <w:i w:val="0"/>
          <w:color w:val="4B5563"/>
          <w:sz w:val="17"/>
        </w:rPr>
        <w:t>Flexible space can help founders protect inventory, self-fulfill, manage sampling, stage retail orders, or create a local operating base. It also shifts real labor, inventory-control, carrier, and insurance responsibilities back to the founder.</w:t>
      </w:r>
    </w:p>
    <w:tbl>
      <w:tblPr>
        <w:tblW w:type="auto" w:w="0"/>
        <w:jc w:val="left"/>
        <w:tblLayout w:type="fixed"/>
        <w:tblLook w:firstColumn="1" w:firstRow="1" w:lastColumn="0" w:lastRow="0" w:noHBand="0" w:noVBand="1" w:val="04A0"/>
      </w:tblPr>
      <w:tblGrid>
        <w:gridCol w:w="10252"/>
      </w:tblGrid>
      <w:tr>
        <w:tc>
          <w:tcPr>
            <w:tcW w:type="dxa" w:w="1512"/>
            <w:shd w:fill="3978D7" w:val="clear"/>
            <w:tcMar>
              <w:top w:w="15" w:type="dxa"/>
              <w:start w:w="0" w:type="dxa"/>
              <w:bottom w:w="15" w:type="dxa"/>
              <w:end w:w="0" w:type="dxa"/>
            </w:tcMar>
          </w:tcPr>
          <w:p>
            <w:r/>
          </w:p>
        </w:tc>
      </w:tr>
    </w:tbl>
    <w:p>
      <w:pPr>
        <w:widowControl/>
        <w:spacing w:after="40"/>
      </w:pPr>
    </w:p>
    <w:tbl>
      <w:tblPr>
        <w:tblW w:type="auto" w:w="0"/>
        <w:jc w:val="center"/>
        <w:tblLayout w:type="fixed"/>
        <w:tblLook w:firstColumn="1" w:firstRow="1" w:lastColumn="0" w:lastRow="0" w:noHBand="0" w:noVBand="1" w:val="04A0"/>
      </w:tblPr>
      <w:tblGrid>
        <w:gridCol w:w="3417"/>
        <w:gridCol w:w="3417"/>
        <w:gridCol w:w="3417"/>
      </w:tblGrid>
      <w:tr>
        <w:tc>
          <w:tcPr>
            <w:tcW w:type="dxa" w:w="3417"/>
            <w:shd w:fill="EFF5FF" w:val="clear"/>
            <w:tcBorders>
              <w:top w:val="single" w:sz="7" w:color="3978D7"/>
              <w:left w:val="single" w:sz="4" w:color="FFFFFF"/>
              <w:bottom w:val="single" w:sz="7" w:color="3978D7"/>
              <w:right w:val="single" w:sz="4" w:color="FFFFFF"/>
            </w:tcBorders>
            <w:tcMar>
              <w:top w:w="100" w:type="dxa"/>
              <w:start w:w="110" w:type="dxa"/>
              <w:bottom w:w="100" w:type="dxa"/>
              <w:end w:w="110" w:type="dxa"/>
            </w:tcMar>
          </w:tcPr>
          <w:p>
            <w:pPr>
              <w:keepLines/>
              <w:spacing w:before="0" w:after="40"/>
            </w:pPr>
            <w:r/>
            <w:r>
              <w:rPr>
                <w:rFonts w:ascii="Aptos" w:hAnsi="Aptos"/>
                <w:b/>
                <w:i w:val="0"/>
                <w:color w:val="071E41"/>
                <w:sz w:val="14"/>
              </w:rPr>
              <w:t>CHOOSE SPACE FOR A REAL REASON</w:t>
            </w:r>
          </w:p>
          <w:p>
            <w:pPr>
              <w:keepLines/>
              <w:spacing w:before="0" w:after="0" w:line="240" w:lineRule="auto"/>
            </w:pPr>
            <w:r>
              <w:rPr>
                <w:rFonts w:ascii="Aptos" w:hAnsi="Aptos"/>
                <w:b w:val="0"/>
                <w:i w:val="0"/>
                <w:color w:val="1E2730"/>
                <w:sz w:val="16"/>
              </w:rPr>
              <w:t>Physical control should solve a repeat operational need - sample handling, local fulfillment, retail prep, light assembly, or seasonal storage.</w:t>
            </w:r>
          </w:p>
        </w:tc>
        <w:tc>
          <w:tcPr>
            <w:tcW w:type="dxa" w:w="3417"/>
            <w:shd w:fill="F5F8FC" w:val="clear"/>
            <w:tcBorders>
              <w:top w:val="single" w:sz="7" w:color="3978D7"/>
              <w:left w:val="single" w:sz="4" w:color="FFFFFF"/>
              <w:bottom w:val="single" w:sz="7" w:color="3978D7"/>
              <w:right w:val="single" w:sz="4" w:color="FFFFFF"/>
            </w:tcBorders>
            <w:tcMar>
              <w:top w:w="100" w:type="dxa"/>
              <w:start w:w="110" w:type="dxa"/>
              <w:bottom w:w="100" w:type="dxa"/>
              <w:end w:w="110" w:type="dxa"/>
            </w:tcMar>
          </w:tcPr>
          <w:p>
            <w:pPr>
              <w:keepLines/>
              <w:spacing w:before="0" w:after="40"/>
            </w:pPr>
            <w:r/>
            <w:r>
              <w:rPr>
                <w:rFonts w:ascii="Aptos" w:hAnsi="Aptos"/>
                <w:b/>
                <w:i w:val="0"/>
                <w:color w:val="071E41"/>
                <w:sz w:val="14"/>
              </w:rPr>
              <w:t>KNOW WHAT YOU STILL OWN</w:t>
            </w:r>
          </w:p>
          <w:p>
            <w:pPr>
              <w:keepLines/>
              <w:spacing w:before="0" w:after="0" w:line="240" w:lineRule="auto"/>
            </w:pPr>
            <w:r>
              <w:rPr>
                <w:rFonts w:ascii="Aptos" w:hAnsi="Aptos"/>
                <w:b w:val="0"/>
                <w:i w:val="0"/>
                <w:color w:val="1E2730"/>
                <w:sz w:val="16"/>
              </w:rPr>
              <w:t>Space is not automatically fulfillment. Labor, WMS/order management, packing supplies, carrier relationships, and inventory accuracy may remain with the founder.</w:t>
            </w:r>
          </w:p>
        </w:tc>
        <w:tc>
          <w:tcPr>
            <w:tcW w:type="dxa" w:w="3417"/>
            <w:shd w:fill="EFF5FF" w:val="clear"/>
            <w:tcBorders>
              <w:top w:val="single" w:sz="7" w:color="3978D7"/>
              <w:left w:val="single" w:sz="4" w:color="FFFFFF"/>
              <w:bottom w:val="single" w:sz="7" w:color="3978D7"/>
              <w:right w:val="single" w:sz="4" w:color="FFFFFF"/>
            </w:tcBorders>
            <w:tcMar>
              <w:top w:w="100" w:type="dxa"/>
              <w:start w:w="110" w:type="dxa"/>
              <w:bottom w:w="100" w:type="dxa"/>
              <w:end w:w="110" w:type="dxa"/>
            </w:tcMar>
          </w:tcPr>
          <w:p>
            <w:pPr>
              <w:keepLines/>
              <w:spacing w:before="0" w:after="40"/>
            </w:pPr>
            <w:r/>
            <w:r>
              <w:rPr>
                <w:rFonts w:ascii="Aptos" w:hAnsi="Aptos"/>
                <w:b/>
                <w:i w:val="0"/>
                <w:color w:val="071E41"/>
                <w:sz w:val="14"/>
              </w:rPr>
              <w:t>VALIDATE SITE OPERATIONS</w:t>
            </w:r>
          </w:p>
          <w:p>
            <w:pPr>
              <w:keepLines/>
              <w:spacing w:before="0" w:after="0" w:line="240" w:lineRule="auto"/>
            </w:pPr>
            <w:r>
              <w:rPr>
                <w:rFonts w:ascii="Aptos" w:hAnsi="Aptos"/>
                <w:b w:val="0"/>
                <w:i w:val="0"/>
                <w:color w:val="1E2730"/>
                <w:sz w:val="16"/>
              </w:rPr>
              <w:t>Tour the actual location; confirm docks, forklifts, security, access, insurance, utility costs, permitted use, receiving rules, and exit terms.</w:t>
            </w:r>
          </w:p>
        </w:tc>
      </w:tr>
    </w:tbl>
    <w:p>
      <w:pPr>
        <w:widowControl/>
        <w:spacing w:after="60"/>
      </w:pPr>
    </w:p>
    <w:tbl>
      <w:tblPr>
        <w:tblW w:type="auto" w:w="0"/>
        <w:jc w:val="center"/>
        <w:tblLayout w:type="fixed"/>
        <w:tblLook w:firstColumn="1" w:firstRow="1" w:lastColumn="0" w:lastRow="0" w:noHBand="0" w:noVBand="1" w:val="04A0"/>
      </w:tblPr>
      <w:tblGrid>
        <w:gridCol w:w="10252"/>
      </w:tblGrid>
      <w:tr>
        <w:tc>
          <w:tcPr>
            <w:tcW w:type="dxa" w:w="10252"/>
            <w:shd w:fill="FFF5E7" w:val="clear"/>
            <w:tcBorders>
              <w:top w:val="single" w:sz="10" w:color="C89B2C"/>
              <w:left w:val="single" w:sz="10" w:color="C89B2C"/>
              <w:bottom w:val="single" w:sz="10" w:color="C89B2C"/>
              <w:right w:val="single" w:sz="10" w:color="C89B2C"/>
            </w:tcBorders>
            <w:tcMar>
              <w:top w:w="110" w:type="dxa"/>
              <w:start w:w="130" w:type="dxa"/>
              <w:bottom w:w="110" w:type="dxa"/>
              <w:end w:w="130" w:type="dxa"/>
            </w:tcMar>
          </w:tcPr>
          <w:p>
            <w:pPr>
              <w:keepLines/>
              <w:spacing w:before="0" w:after="40"/>
            </w:pPr>
            <w:r/>
            <w:r>
              <w:rPr>
                <w:rFonts w:ascii="Aptos" w:hAnsi="Aptos"/>
                <w:b/>
                <w:i w:val="0"/>
                <w:color w:val="C89B2C"/>
                <w:sz w:val="16"/>
              </w:rPr>
              <w:t>FOUNDER DECISION CUE</w:t>
            </w:r>
          </w:p>
          <w:p>
            <w:pPr>
              <w:keepLines/>
              <w:spacing w:before="0" w:after="0" w:line="247" w:lineRule="auto"/>
            </w:pPr>
            <w:r>
              <w:rPr>
                <w:rFonts w:ascii="Aptos" w:hAnsi="Aptos"/>
                <w:b w:val="0"/>
                <w:i w:val="0"/>
                <w:color w:val="1E2730"/>
                <w:sz w:val="17"/>
              </w:rPr>
              <w:t>Choose space only when physical control creates a real operating advantage. Add occupancy, equipment, labor, insurance, utilities, inbound freight, and fulfillment labor to the monthly decision - not just advertised rent.</w:t>
            </w:r>
          </w:p>
        </w:tc>
      </w:tr>
    </w:tbl>
    <w:p>
      <w:pPr>
        <w:widowControl/>
        <w:spacing w:after="40"/>
      </w:pPr>
    </w:p>
    <w:p>
      <w:pPr>
        <w:widowControl/>
        <w:spacing w:after="100"/>
      </w:pPr>
    </w:p>
    <w:p>
      <w:pPr>
        <w:keepNext/>
        <w:widowControl/>
        <w:spacing w:before="200" w:after="80"/>
      </w:pPr>
      <w:r>
        <w:rPr>
          <w:rFonts w:ascii="Aptos Display" w:hAnsi="Aptos Display"/>
          <w:b/>
          <w:i w:val="0"/>
          <w:color w:val="071E41"/>
          <w:sz w:val="25"/>
        </w:rPr>
        <w:t>Category Quick Match</w:t>
      </w:r>
    </w:p>
    <w:tbl>
      <w:tblPr>
        <w:tblW w:type="auto" w:w="0"/>
        <w:jc w:val="center"/>
        <w:tblLayout w:type="fixed"/>
        <w:tblLook w:firstColumn="1" w:firstRow="1" w:lastColumn="0" w:lastRow="0" w:noHBand="0" w:noVBand="1" w:val="04A0"/>
      </w:tblPr>
      <w:tblGrid>
        <w:gridCol w:w="3417"/>
        <w:gridCol w:w="3417"/>
        <w:gridCol w:w="3417"/>
      </w:tblGrid>
      <w:tr>
        <w:trPr>
          <w:tblHeader w:val="true"/>
        </w:trPr>
        <w:tc>
          <w:tcPr>
            <w:tcW w:type="dxa" w:w="2620"/>
            <w:shd w:fill="071E41" w:val="clear"/>
            <w:tcMar>
              <w:top w:w="60" w:type="dxa"/>
              <w:start w:w="70" w:type="dxa"/>
              <w:bottom w:w="60" w:type="dxa"/>
              <w:end w:w="70" w:type="dxa"/>
            </w:tcMar>
          </w:tcPr>
          <w:p>
            <w:pPr>
              <w:spacing w:before="0" w:after="0"/>
            </w:pPr>
            <w:r/>
            <w:r>
              <w:rPr>
                <w:rFonts w:ascii="Aptos" w:hAnsi="Aptos"/>
                <w:b/>
                <w:i w:val="0"/>
                <w:color w:val="FFFFFF"/>
                <w:sz w:val="13"/>
              </w:rPr>
              <w:t>PARTNER</w:t>
            </w:r>
          </w:p>
        </w:tc>
        <w:tc>
          <w:tcPr>
            <w:tcW w:type="dxa" w:w="3484"/>
            <w:shd w:fill="071E41" w:val="clear"/>
            <w:tcMar>
              <w:top w:w="60" w:type="dxa"/>
              <w:start w:w="70" w:type="dxa"/>
              <w:bottom w:w="60" w:type="dxa"/>
              <w:end w:w="70" w:type="dxa"/>
            </w:tcMar>
          </w:tcPr>
          <w:p>
            <w:pPr>
              <w:spacing w:before="0" w:after="0"/>
            </w:pPr>
            <w:r/>
            <w:r>
              <w:rPr>
                <w:rFonts w:ascii="Aptos" w:hAnsi="Aptos"/>
                <w:b/>
                <w:i w:val="0"/>
                <w:color w:val="FFFFFF"/>
                <w:sz w:val="13"/>
              </w:rPr>
              <w:t>PUBLISHED STARTING SIGNAL</w:t>
            </w:r>
          </w:p>
        </w:tc>
        <w:tc>
          <w:tcPr>
            <w:tcW w:type="dxa" w:w="4147"/>
            <w:shd w:fill="071E41" w:val="clear"/>
            <w:tcMar>
              <w:top w:w="60" w:type="dxa"/>
              <w:start w:w="70" w:type="dxa"/>
              <w:bottom w:w="60" w:type="dxa"/>
              <w:end w:w="70" w:type="dxa"/>
            </w:tcMar>
          </w:tcPr>
          <w:p>
            <w:pPr>
              <w:spacing w:before="0" w:after="0"/>
            </w:pPr>
            <w:r/>
            <w:r>
              <w:rPr>
                <w:rFonts w:ascii="Aptos" w:hAnsi="Aptos"/>
                <w:b/>
                <w:i w:val="0"/>
                <w:color w:val="FFFFFF"/>
                <w:sz w:val="13"/>
              </w:rPr>
              <w:t>WHY ASSESS THIS ROUTE</w:t>
            </w:r>
          </w:p>
        </w:tc>
      </w:tr>
      <w:tr>
        <w:trPr>
          <w:cantSplit/>
        </w:trPr>
        <w:tc>
          <w:tcPr>
            <w:tcW w:type="dxa" w:w="2620"/>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WH-01</w:t>
              <w:br/>
              <w:t>Saltbox</w:t>
            </w:r>
          </w:p>
        </w:tc>
        <w:tc>
          <w:tcPr>
            <w:tcW w:type="dxa" w:w="3484"/>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No MOQ.</w:t>
            </w:r>
          </w:p>
        </w:tc>
        <w:tc>
          <w:tcPr>
            <w:tcW w:type="dxa" w:w="4147"/>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Best for founders who are still hands-on with inventory and fulfillment, need a professional place to...</w:t>
            </w:r>
          </w:p>
        </w:tc>
      </w:tr>
      <w:tr>
        <w:trPr>
          <w:cantSplit/>
        </w:trPr>
        <w:tc>
          <w:tcPr>
            <w:tcW w:type="dxa" w:w="2620"/>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WH-02</w:t>
              <w:br/>
              <w:t>Readyspaces</w:t>
            </w:r>
          </w:p>
        </w:tc>
        <w:tc>
          <w:tcPr>
            <w:tcW w:type="dxa" w:w="3484"/>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No MOQ.</w:t>
            </w:r>
          </w:p>
        </w:tc>
        <w:tc>
          <w:tcPr>
            <w:tcW w:type="dxa" w:w="4147"/>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Great for a founder who needs physical inventory control, wants to self-fulfill or use a local operator,...</w:t>
            </w:r>
          </w:p>
        </w:tc>
      </w:tr>
      <w:tr>
        <w:trPr>
          <w:cantSplit/>
        </w:trPr>
        <w:tc>
          <w:tcPr>
            <w:tcW w:type="dxa" w:w="2620"/>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WH-03</w:t>
              <w:br/>
              <w:t>Loloft</w:t>
            </w:r>
          </w:p>
        </w:tc>
        <w:tc>
          <w:tcPr>
            <w:tcW w:type="dxa" w:w="3484"/>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No MOQ.</w:t>
            </w:r>
          </w:p>
        </w:tc>
        <w:tc>
          <w:tcPr>
            <w:tcW w:type="dxa" w:w="4147"/>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A strong local option for founder-led ecommerce, maker, regional distribution, and light logistics needs...</w:t>
            </w:r>
          </w:p>
        </w:tc>
      </w:tr>
      <w:tr>
        <w:trPr>
          <w:cantSplit/>
        </w:trPr>
        <w:tc>
          <w:tcPr>
            <w:tcW w:type="dxa" w:w="2620"/>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WH-04</w:t>
              <w:br/>
              <w:t>Cubework</w:t>
            </w:r>
          </w:p>
        </w:tc>
        <w:tc>
          <w:tcPr>
            <w:tcW w:type="dxa" w:w="3484"/>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No MOQ.</w:t>
            </w:r>
          </w:p>
        </w:tc>
        <w:tc>
          <w:tcPr>
            <w:tcW w:type="dxa" w:w="4147"/>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Worth evaluating for a founder who needs flexible, multi-market or seasonal capacity and physical...</w:t>
            </w:r>
          </w:p>
        </w:tc>
      </w:tr>
      <w:tr>
        <w:trPr>
          <w:cantSplit/>
        </w:trPr>
        <w:tc>
          <w:tcPr>
            <w:tcW w:type="dxa" w:w="2620"/>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WH-05</w:t>
              <w:br/>
              <w:t>Flexe</w:t>
            </w:r>
          </w:p>
        </w:tc>
        <w:tc>
          <w:tcPr>
            <w:tcW w:type="dxa" w:w="3484"/>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No public MOQ, square-foot threshold, or starting-price point verified.</w:t>
            </w:r>
          </w:p>
        </w:tc>
        <w:tc>
          <w:tcPr>
            <w:tcW w:type="dxa" w:w="4147"/>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A later-stage or seasonal-capacity conversation for a brand with meaningful pallet, distribution,...</w:t>
            </w:r>
          </w:p>
        </w:tc>
      </w:tr>
    </w:tbl>
    <w:p>
      <w:pPr>
        <w:widowControl/>
      </w:pPr>
      <w:r>
        <w:br w:type="page"/>
      </w:r>
    </w:p>
    <w:p>
      <w:pPr>
        <w:keepNext/>
        <w:widowControl/>
        <w:spacing w:before="0" w:after="60"/>
      </w:pPr>
      <w:r>
        <w:rPr>
          <w:rFonts w:ascii="Aptos" w:hAnsi="Aptos"/>
          <w:b/>
          <w:i w:val="0"/>
          <w:color w:val="3978D7"/>
          <w:sz w:val="16"/>
        </w:rPr>
        <w:t>WH-01 | FLEXIBLE WAREHOUSING + CO-WAREHOUSING</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Saltbox</w:t>
            </w:r>
          </w:p>
          <w:p>
            <w:pPr>
              <w:keepLines/>
              <w:spacing w:before="0" w:after="0"/>
            </w:pPr>
            <w:r>
              <w:rPr>
                <w:rFonts w:ascii="Aptos" w:hAnsi="Aptos"/>
                <w:b/>
                <w:i w:val="0"/>
                <w:color w:val="DCEBFF"/>
                <w:sz w:val="17"/>
              </w:rPr>
              <w:t>Co-warehousing | Founder workspace + logistics</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Flexible memberships combining business address, warehouse access, packing stations, loading dock access, shipping infrastructure, on-demand logistics support, and dedicated warehouse workspace depending on plan and location.</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Best for founders who are still hands-on with inventory and fulfillment, need a professional place to receive/store/ship product, and are not ready for a long warehouse lease or full 3PL relationship.</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No MOQ. Published plans include virtual membership at $99/month and access plans starting at $349/month on a recent 2026 pricing article; dedicated suites are custom-priced and location-dependent.</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Membership and space availability are local. Confirm facility availability, dock/receiving rules, package volume limits, and move-in steps before relying on a launch date.</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Speak to an Expert / local location inquiry on Saltbox website. A public email, phone, and named sales lead were not verified in this edition.</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Local market preference, number of pallets/cartons, weekly receiving/shipping needs, whether staff will self-fulfill, storage conditions, desired workspace, and carrier needs.</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Confirm local price, membership rules, storage/suite size, receiving, loading dock use, package handling, insurance, access hours, utilities, carrier discounts, month-to-month terms, and exit rules.</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Pricing references vary across Saltbox pages by plan and publication date. Use the current local quote; virtual access is not physical package storage.</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saltbox.com  |  Public-source check: July 1, 2026</w:t>
      </w:r>
    </w:p>
    <w:p>
      <w:pPr>
        <w:widowControl/>
      </w:pPr>
      <w:r>
        <w:br w:type="page"/>
      </w:r>
    </w:p>
    <w:p>
      <w:pPr>
        <w:keepNext/>
        <w:widowControl/>
        <w:spacing w:before="0" w:after="60"/>
      </w:pPr>
      <w:r>
        <w:rPr>
          <w:rFonts w:ascii="Aptos" w:hAnsi="Aptos"/>
          <w:b/>
          <w:i w:val="0"/>
          <w:color w:val="3978D7"/>
          <w:sz w:val="16"/>
        </w:rPr>
        <w:t>WH-02 | FLEXIBLE WAREHOUSING + CO-WAREHOUSING</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Readyspaces</w:t>
            </w:r>
          </w:p>
          <w:p>
            <w:pPr>
              <w:keepLines/>
              <w:spacing w:before="0" w:after="0"/>
            </w:pPr>
            <w:r>
              <w:rPr>
                <w:rFonts w:ascii="Aptos" w:hAnsi="Aptos"/>
                <w:b/>
                <w:i w:val="0"/>
                <w:color w:val="DCEBFF"/>
                <w:sz w:val="17"/>
              </w:rPr>
              <w:t>Flexible warehouse | Self-managed micro-fulfillment</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Small warehouse space for storage, ecommerce fulfillment, distribution/wholesale, light assembly, seasonal inventory, retail pop-up staging, and micro-fulfillment. Locations advertise docks, 24/7 access, WiFi, forklifts, and all-inclusive pricing.</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Great for a founder who needs physical inventory control, wants to self-fulfill or use a local operator, and has grown beyond home storage without needing 10,000+ square feet.</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No MOQ. Publicly advertises 200-5,000 square feet on month-to-month terms. Local availability, footprint, features, and rent vary by site.</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ReadySpaces says some distribution/wholesale units can be operational within days. Confirm local availability, insurance, site orientation, receiving protocol, and move-in date.</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Location/tour team. 801-810-2009 | Email Us / chat via ReadySpaces website. Named new-business contact not publicly identified.</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Target market, required square footage/pallet count, inbound freight/receiving needs, self-fulfillment workflow, power/temperature/access requirements, budget, and expected duration.</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Ask about actual unit dimensions, dock access, freight receiving, forklift availability, security, insurance, shelving, operating hours, utilities, fees/deposit, local zoning/use restrictions, and month-to-month exit.</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This is space, not a managed 3PL. The founder must budget for labor, WMS/order management, packing materials, carrier pickups, and inventory controls.</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readyspaces.com  |  Public-source check: July 1, 2026</w:t>
      </w:r>
    </w:p>
    <w:p>
      <w:pPr>
        <w:widowControl/>
      </w:pPr>
      <w:r>
        <w:br w:type="page"/>
      </w:r>
    </w:p>
    <w:p>
      <w:pPr>
        <w:keepNext/>
        <w:widowControl/>
        <w:spacing w:before="0" w:after="60"/>
      </w:pPr>
      <w:r>
        <w:rPr>
          <w:rFonts w:ascii="Aptos" w:hAnsi="Aptos"/>
          <w:b/>
          <w:i w:val="0"/>
          <w:color w:val="3978D7"/>
          <w:sz w:val="16"/>
        </w:rPr>
        <w:t>WH-03 | FLEXIBLE WAREHOUSING + CO-WAREHOUSING</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Loloft</w:t>
            </w:r>
          </w:p>
          <w:p>
            <w:pPr>
              <w:keepLines/>
              <w:spacing w:before="0" w:after="0"/>
            </w:pPr>
            <w:r>
              <w:rPr>
                <w:rFonts w:ascii="Aptos" w:hAnsi="Aptos"/>
                <w:b/>
                <w:i w:val="0"/>
                <w:color w:val="DCEBFF"/>
                <w:sz w:val="17"/>
              </w:rPr>
              <w:t>Flexible warehouse | Small local footprint</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Small warehouse and office space, carrier pickups, shared amenities, loading docks, 24/7 access, utilities, WiFi, private offices, and coworking. Public materials show options in Phoenix and Rogers/Bentonville.</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A strong local option for founder-led ecommerce, maker, regional distribution, and light logistics needs where a small, flexible physical space is more useful than a broad national network.</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No MOQ. Private warehouse spaces are advertised from 150 to 1,000+ square feet. Phoenix page markets warehouse space up to 200 square feet starting at $722; local quote controls.</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Availability varies by market. The company positions its terms as flexible/month-to-month; verify unit availability, receiving rules, and carrier pickup schedule before signing.</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New member / warehouse team. info@loloft.com | 479-208-6499 (Rogers/Bentonville) | Website tour inquiry. Verify the correct location contact.</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Preferred city, inventory footprint, pallet/carton count, self-fulfillment requirements, loading/receiving needs, workspace needs, budget, and expected lease term.</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Ask for exact unit size, pricing, deposit, services included, receiving, dock access, carrier pickup, access hours, security, insurance, expansion rights, and exit/notice terms.</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The directory profile is intentionally regional. Founders should treat it as a local infrastructure option, not a national fulfillment network.</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loloft.com  |  Public-source check: July 1, 2026</w:t>
      </w:r>
    </w:p>
    <w:p>
      <w:pPr>
        <w:widowControl/>
      </w:pPr>
      <w:r>
        <w:br w:type="page"/>
      </w:r>
    </w:p>
    <w:p>
      <w:pPr>
        <w:keepNext/>
        <w:widowControl/>
        <w:spacing w:before="0" w:after="60"/>
      </w:pPr>
      <w:r>
        <w:rPr>
          <w:rFonts w:ascii="Aptos" w:hAnsi="Aptos"/>
          <w:b/>
          <w:i w:val="0"/>
          <w:color w:val="3978D7"/>
          <w:sz w:val="16"/>
        </w:rPr>
        <w:t>WH-04 | FLEXIBLE WAREHOUSING + CO-WAREHOUSING</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Cubework</w:t>
            </w:r>
          </w:p>
          <w:p>
            <w:pPr>
              <w:keepLines/>
              <w:spacing w:before="0" w:after="0"/>
            </w:pPr>
            <w:r>
              <w:rPr>
                <w:rFonts w:ascii="Aptos" w:hAnsi="Aptos"/>
                <w:b/>
                <w:i w:val="0"/>
                <w:color w:val="DCEBFF"/>
                <w:sz w:val="17"/>
              </w:rPr>
              <w:t>Flexible warehouse | National inventory staging</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Flexible warehouse/storage space, offices, docks, all-inclusive facilities, on-site support, and a national network. Public materials promote social-commerce support, regional inventory staging, and short-term/overflow capacity.</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Worth evaluating for a founder who needs flexible, multi-market or seasonal capacity and physical warehouse access rather than fully outsourced fulfillment.</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No MOQ. Public material advertises month-to-month terms, 48-hour move-in capability, and spaces from 100 square feet to 100,000+ square feet depending on market.</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Public marketing states 48-hour move-in capability for some use cases. Treat this as an availability claim, not a guaranteed startup date; confirm local unit and approval process.</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Tour / space advisor. 800-338-6369 | Cubework website. General email not verified in this edition.</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City/markets, required square footage/pallets, inbound and outbound workflow, loading requirements, access/security needs, staff plan, seasonal pattern, and desired term.</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Confirm specific building/space, local operating costs, utilities, security, dock and forklift access, permitted use, insurance, access controls, set-up, deposit, move-in time, and exit flexibility.</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National availability and 48-hour positioning do not mean every market has the needed size, dock, or use authorization. Validate local location details in writing.</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cubework.com  |  Public-source check: July 1, 2026</w:t>
      </w:r>
    </w:p>
    <w:p>
      <w:pPr>
        <w:widowControl/>
      </w:pPr>
      <w:r>
        <w:br w:type="page"/>
      </w:r>
    </w:p>
    <w:p>
      <w:pPr>
        <w:keepNext/>
        <w:widowControl/>
        <w:spacing w:before="0" w:after="60"/>
      </w:pPr>
      <w:r>
        <w:rPr>
          <w:rFonts w:ascii="Aptos" w:hAnsi="Aptos"/>
          <w:b/>
          <w:i w:val="0"/>
          <w:color w:val="3978D7"/>
          <w:sz w:val="16"/>
        </w:rPr>
        <w:t>WH-05 | FLEXIBLE WAREHOUSING + CO-WAREHOUSING</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Flexe</w:t>
            </w:r>
          </w:p>
          <w:p>
            <w:pPr>
              <w:keepLines/>
              <w:spacing w:before="0" w:after="0"/>
            </w:pPr>
            <w:r>
              <w:rPr>
                <w:rFonts w:ascii="Aptos" w:hAnsi="Aptos"/>
                <w:b/>
                <w:i w:val="0"/>
                <w:color w:val="DCEBFF"/>
                <w:sz w:val="17"/>
              </w:rPr>
              <w:t>Flexible warehousing infrastructure | Network scale</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Tech-enabled flexible warehousing infrastructure with a warehouse network, fulfillment/distribution programs, capacity management, technology, data intelligence, and operations support.</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A later-stage or seasonal-capacity conversation for a brand with meaningful pallet, distribution, geographic, or channel complexity. It is not the default first warehouse for a home-based startup.</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No public MOQ, square-foot threshold, or starting-price point verified. Scope, network location, and service structure are quote-driven.</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No public standard onboarding or start date was verified. Ask for market availability, contract structure, project implementation, operations launch, and time-to-first outbound shipment.</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Flexible Warehousing Infrastructure team. contact@flexe.com | 855-733-7788 | Seattle, Washington.</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Inventory geography, pallet/case profile, seasonality, retail/DTC channel needs, preferred markets, freight flows, service-level needs, data/system readiness, and realistic forecast.</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Ask for warehouse options, commercial model, term, minimums, receiving/outbound rates, fulfillment scope, technology/integration, inventory reporting, service levels, insurance, and peak capacity.</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Flexible infrastructure can still be a complex enterprise-style engagement. Do not pursue it only because 'flexible' sounds founder-friendly; qualify operational scale first.</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flexe.com  |  Public-source check: July 1, 2026</w:t>
      </w:r>
    </w:p>
    <w:p>
      <w:pPr>
        <w:widowControl/>
      </w:pPr>
      <w:r>
        <w:br w:type="page"/>
      </w:r>
    </w:p>
    <w:p>
      <w:pPr>
        <w:keepNext/>
        <w:widowControl/>
        <w:spacing w:before="0" w:after="60"/>
      </w:pPr>
      <w:r>
        <w:rPr>
          <w:rFonts w:ascii="Aptos" w:hAnsi="Aptos"/>
          <w:b/>
          <w:i w:val="0"/>
          <w:color w:val="3978D7"/>
          <w:sz w:val="16"/>
        </w:rPr>
        <w:t>09 | PARTNER CATEGORY</w:t>
      </w:r>
    </w:p>
    <w:p>
      <w:pPr>
        <w:keepNext/>
        <w:widowControl/>
        <w:spacing w:before="0" w:after="80"/>
      </w:pPr>
      <w:r>
        <w:rPr>
          <w:rFonts w:ascii="Aptos Display" w:hAnsi="Aptos Display"/>
          <w:b/>
          <w:i w:val="0"/>
          <w:color w:val="071E41"/>
          <w:sz w:val="40"/>
        </w:rPr>
        <w:t>Packaging</w:t>
      </w:r>
    </w:p>
    <w:p>
      <w:pPr>
        <w:keepNext/>
        <w:widowControl/>
        <w:spacing w:before="0" w:after="200" w:line="252" w:lineRule="auto"/>
      </w:pPr>
      <w:r>
        <w:rPr>
          <w:rFonts w:ascii="Aptos" w:hAnsi="Aptos"/>
          <w:b w:val="0"/>
          <w:i w:val="0"/>
          <w:color w:val="4B5563"/>
          <w:sz w:val="17"/>
        </w:rPr>
        <w:t>Packaging must protect the product, communicate brand value, work inside the chosen manufacturing and fulfillment model, and support the unit economics required for the intended channel.</w:t>
      </w:r>
    </w:p>
    <w:tbl>
      <w:tblPr>
        <w:tblW w:type="auto" w:w="0"/>
        <w:jc w:val="left"/>
        <w:tblLayout w:type="fixed"/>
        <w:tblLook w:firstColumn="1" w:firstRow="1" w:lastColumn="0" w:lastRow="0" w:noHBand="0" w:noVBand="1" w:val="04A0"/>
      </w:tblPr>
      <w:tblGrid>
        <w:gridCol w:w="10252"/>
      </w:tblGrid>
      <w:tr>
        <w:tc>
          <w:tcPr>
            <w:tcW w:type="dxa" w:w="1512"/>
            <w:shd w:fill="3978D7" w:val="clear"/>
            <w:tcMar>
              <w:top w:w="15" w:type="dxa"/>
              <w:start w:w="0" w:type="dxa"/>
              <w:bottom w:w="15" w:type="dxa"/>
              <w:end w:w="0" w:type="dxa"/>
            </w:tcMar>
          </w:tcPr>
          <w:p>
            <w:r/>
          </w:p>
        </w:tc>
      </w:tr>
    </w:tbl>
    <w:p>
      <w:pPr>
        <w:widowControl/>
        <w:spacing w:after="40"/>
      </w:pPr>
    </w:p>
    <w:tbl>
      <w:tblPr>
        <w:tblW w:type="auto" w:w="0"/>
        <w:jc w:val="center"/>
        <w:tblLayout w:type="fixed"/>
        <w:tblLook w:firstColumn="1" w:firstRow="1" w:lastColumn="0" w:lastRow="0" w:noHBand="0" w:noVBand="1" w:val="04A0"/>
      </w:tblPr>
      <w:tblGrid>
        <w:gridCol w:w="3417"/>
        <w:gridCol w:w="3417"/>
        <w:gridCol w:w="3417"/>
      </w:tblGrid>
      <w:tr>
        <w:tc>
          <w:tcPr>
            <w:tcW w:type="dxa" w:w="3417"/>
            <w:shd w:fill="EFF5FF" w:val="clear"/>
            <w:tcBorders>
              <w:top w:val="single" w:sz="7" w:color="3978D7"/>
              <w:left w:val="single" w:sz="4" w:color="FFFFFF"/>
              <w:bottom w:val="single" w:sz="7" w:color="3978D7"/>
              <w:right w:val="single" w:sz="4" w:color="FFFFFF"/>
            </w:tcBorders>
            <w:tcMar>
              <w:top w:w="100" w:type="dxa"/>
              <w:start w:w="110" w:type="dxa"/>
              <w:bottom w:w="100" w:type="dxa"/>
              <w:end w:w="110" w:type="dxa"/>
            </w:tcMar>
          </w:tcPr>
          <w:p>
            <w:pPr>
              <w:keepLines/>
              <w:spacing w:before="0" w:after="40"/>
            </w:pPr>
            <w:r/>
            <w:r>
              <w:rPr>
                <w:rFonts w:ascii="Aptos" w:hAnsi="Aptos"/>
                <w:b/>
                <w:i w:val="0"/>
                <w:color w:val="071E41"/>
                <w:sz w:val="14"/>
              </w:rPr>
              <w:t>DESIGN FOR THE ACTUAL CHANNEL</w:t>
            </w:r>
          </w:p>
          <w:p>
            <w:pPr>
              <w:keepLines/>
              <w:spacing w:before="0" w:after="0" w:line="240" w:lineRule="auto"/>
            </w:pPr>
            <w:r>
              <w:rPr>
                <w:rFonts w:ascii="Aptos" w:hAnsi="Aptos"/>
                <w:b w:val="0"/>
                <w:i w:val="0"/>
                <w:color w:val="1E2730"/>
                <w:sz w:val="16"/>
              </w:rPr>
              <w:t>DTC mailer, retail shelf, case pack, display, pallet, subscription, and giftable packaging require different structural choices.</w:t>
            </w:r>
          </w:p>
        </w:tc>
        <w:tc>
          <w:tcPr>
            <w:tcW w:type="dxa" w:w="3417"/>
            <w:shd w:fill="F5F8FC" w:val="clear"/>
            <w:tcBorders>
              <w:top w:val="single" w:sz="7" w:color="3978D7"/>
              <w:left w:val="single" w:sz="4" w:color="FFFFFF"/>
              <w:bottom w:val="single" w:sz="7" w:color="3978D7"/>
              <w:right w:val="single" w:sz="4" w:color="FFFFFF"/>
            </w:tcBorders>
            <w:tcMar>
              <w:top w:w="100" w:type="dxa"/>
              <w:start w:w="110" w:type="dxa"/>
              <w:bottom w:w="100" w:type="dxa"/>
              <w:end w:w="110" w:type="dxa"/>
            </w:tcMar>
          </w:tcPr>
          <w:p>
            <w:pPr>
              <w:keepLines/>
              <w:spacing w:before="0" w:after="40"/>
            </w:pPr>
            <w:r/>
            <w:r>
              <w:rPr>
                <w:rFonts w:ascii="Aptos" w:hAnsi="Aptos"/>
                <w:b/>
                <w:i w:val="0"/>
                <w:color w:val="071E41"/>
                <w:sz w:val="14"/>
              </w:rPr>
              <w:t>OWN THE SOURCE FILES</w:t>
            </w:r>
          </w:p>
          <w:p>
            <w:pPr>
              <w:keepLines/>
              <w:spacing w:before="0" w:after="0" w:line="240" w:lineRule="auto"/>
            </w:pPr>
            <w:r>
              <w:rPr>
                <w:rFonts w:ascii="Aptos" w:hAnsi="Aptos"/>
                <w:b w:val="0"/>
                <w:i w:val="0"/>
                <w:color w:val="1E2730"/>
                <w:sz w:val="16"/>
              </w:rPr>
              <w:t>Confirm dieline, artwork, proof/version, source-of-record, and reprint responsibility before production.</w:t>
            </w:r>
          </w:p>
        </w:tc>
        <w:tc>
          <w:tcPr>
            <w:tcW w:type="dxa" w:w="3417"/>
            <w:shd w:fill="EFF5FF" w:val="clear"/>
            <w:tcBorders>
              <w:top w:val="single" w:sz="7" w:color="3978D7"/>
              <w:left w:val="single" w:sz="4" w:color="FFFFFF"/>
              <w:bottom w:val="single" w:sz="7" w:color="3978D7"/>
              <w:right w:val="single" w:sz="4" w:color="FFFFFF"/>
            </w:tcBorders>
            <w:tcMar>
              <w:top w:w="100" w:type="dxa"/>
              <w:start w:w="110" w:type="dxa"/>
              <w:bottom w:w="100" w:type="dxa"/>
              <w:end w:w="110" w:type="dxa"/>
            </w:tcMar>
          </w:tcPr>
          <w:p>
            <w:pPr>
              <w:keepLines/>
              <w:spacing w:before="0" w:after="40"/>
            </w:pPr>
            <w:r/>
            <w:r>
              <w:rPr>
                <w:rFonts w:ascii="Aptos" w:hAnsi="Aptos"/>
                <w:b/>
                <w:i w:val="0"/>
                <w:color w:val="071E41"/>
                <w:sz w:val="14"/>
              </w:rPr>
              <w:t>PLAN PRODUCTION PLUS TRANSIT</w:t>
            </w:r>
          </w:p>
          <w:p>
            <w:pPr>
              <w:keepLines/>
              <w:spacing w:before="0" w:after="0" w:line="240" w:lineRule="auto"/>
            </w:pPr>
            <w:r>
              <w:rPr>
                <w:rFonts w:ascii="Aptos" w:hAnsi="Aptos"/>
                <w:b w:val="0"/>
                <w:i w:val="0"/>
                <w:color w:val="1E2730"/>
                <w:sz w:val="16"/>
              </w:rPr>
              <w:t>A quoted production turn may exclude prepress, samples, shipping, customs, freight, or warehouse receiving time.</w:t>
            </w:r>
          </w:p>
        </w:tc>
      </w:tr>
    </w:tbl>
    <w:p>
      <w:pPr>
        <w:widowControl/>
        <w:spacing w:after="60"/>
      </w:pPr>
    </w:p>
    <w:tbl>
      <w:tblPr>
        <w:tblW w:type="auto" w:w="0"/>
        <w:jc w:val="center"/>
        <w:tblLayout w:type="fixed"/>
        <w:tblLook w:firstColumn="1" w:firstRow="1" w:lastColumn="0" w:lastRow="0" w:noHBand="0" w:noVBand="1" w:val="04A0"/>
      </w:tblPr>
      <w:tblGrid>
        <w:gridCol w:w="10252"/>
      </w:tblGrid>
      <w:tr>
        <w:tc>
          <w:tcPr>
            <w:tcW w:type="dxa" w:w="10252"/>
            <w:shd w:fill="FFF5E7" w:val="clear"/>
            <w:tcBorders>
              <w:top w:val="single" w:sz="10" w:color="C89B2C"/>
              <w:left w:val="single" w:sz="10" w:color="C89B2C"/>
              <w:bottom w:val="single" w:sz="10" w:color="C89B2C"/>
              <w:right w:val="single" w:sz="10" w:color="C89B2C"/>
            </w:tcBorders>
            <w:tcMar>
              <w:top w:w="110" w:type="dxa"/>
              <w:start w:w="130" w:type="dxa"/>
              <w:bottom w:w="110" w:type="dxa"/>
              <w:end w:w="130" w:type="dxa"/>
            </w:tcMar>
          </w:tcPr>
          <w:p>
            <w:pPr>
              <w:keepLines/>
              <w:spacing w:before="0" w:after="40"/>
            </w:pPr>
            <w:r/>
            <w:r>
              <w:rPr>
                <w:rFonts w:ascii="Aptos" w:hAnsi="Aptos"/>
                <w:b/>
                <w:i w:val="0"/>
                <w:color w:val="C89B2C"/>
                <w:sz w:val="16"/>
              </w:rPr>
              <w:t>FOUNDER DECISION CUE</w:t>
            </w:r>
          </w:p>
          <w:p>
            <w:pPr>
              <w:keepLines/>
              <w:spacing w:before="0" w:after="0" w:line="247" w:lineRule="auto"/>
            </w:pPr>
            <w:r>
              <w:rPr>
                <w:rFonts w:ascii="Aptos" w:hAnsi="Aptos"/>
                <w:b w:val="0"/>
                <w:i w:val="0"/>
                <w:color w:val="1E2730"/>
                <w:sz w:val="17"/>
              </w:rPr>
              <w:t>Evaluate packaging as a commercial system, not a design purchase. Confirm product protection, structural fit, components, freight, inventory holding, retailer requirements, revision control, and the timing needed before the next production run.</w:t>
            </w:r>
          </w:p>
        </w:tc>
      </w:tr>
    </w:tbl>
    <w:p>
      <w:pPr>
        <w:widowControl/>
        <w:spacing w:after="40"/>
      </w:pPr>
    </w:p>
    <w:p>
      <w:pPr>
        <w:widowControl/>
        <w:spacing w:after="100"/>
      </w:pPr>
    </w:p>
    <w:p>
      <w:pPr>
        <w:keepNext/>
        <w:widowControl/>
        <w:spacing w:before="200" w:after="80"/>
      </w:pPr>
      <w:r>
        <w:rPr>
          <w:rFonts w:ascii="Aptos Display" w:hAnsi="Aptos Display"/>
          <w:b/>
          <w:i w:val="0"/>
          <w:color w:val="071E41"/>
          <w:sz w:val="25"/>
        </w:rPr>
        <w:t>Category Quick Match</w:t>
      </w:r>
    </w:p>
    <w:tbl>
      <w:tblPr>
        <w:tblW w:type="auto" w:w="0"/>
        <w:jc w:val="center"/>
        <w:tblLayout w:type="fixed"/>
        <w:tblLook w:firstColumn="1" w:firstRow="1" w:lastColumn="0" w:lastRow="0" w:noHBand="0" w:noVBand="1" w:val="04A0"/>
      </w:tblPr>
      <w:tblGrid>
        <w:gridCol w:w="3417"/>
        <w:gridCol w:w="3417"/>
        <w:gridCol w:w="3417"/>
      </w:tblGrid>
      <w:tr>
        <w:trPr>
          <w:tblHeader w:val="true"/>
        </w:trPr>
        <w:tc>
          <w:tcPr>
            <w:tcW w:type="dxa" w:w="2620"/>
            <w:shd w:fill="071E41" w:val="clear"/>
            <w:tcMar>
              <w:top w:w="60" w:type="dxa"/>
              <w:start w:w="70" w:type="dxa"/>
              <w:bottom w:w="60" w:type="dxa"/>
              <w:end w:w="70" w:type="dxa"/>
            </w:tcMar>
          </w:tcPr>
          <w:p>
            <w:pPr>
              <w:spacing w:before="0" w:after="0"/>
            </w:pPr>
            <w:r/>
            <w:r>
              <w:rPr>
                <w:rFonts w:ascii="Aptos" w:hAnsi="Aptos"/>
                <w:b/>
                <w:i w:val="0"/>
                <w:color w:val="FFFFFF"/>
                <w:sz w:val="13"/>
              </w:rPr>
              <w:t>PARTNER</w:t>
            </w:r>
          </w:p>
        </w:tc>
        <w:tc>
          <w:tcPr>
            <w:tcW w:type="dxa" w:w="3484"/>
            <w:shd w:fill="071E41" w:val="clear"/>
            <w:tcMar>
              <w:top w:w="60" w:type="dxa"/>
              <w:start w:w="70" w:type="dxa"/>
              <w:bottom w:w="60" w:type="dxa"/>
              <w:end w:w="70" w:type="dxa"/>
            </w:tcMar>
          </w:tcPr>
          <w:p>
            <w:pPr>
              <w:spacing w:before="0" w:after="0"/>
            </w:pPr>
            <w:r/>
            <w:r>
              <w:rPr>
                <w:rFonts w:ascii="Aptos" w:hAnsi="Aptos"/>
                <w:b/>
                <w:i w:val="0"/>
                <w:color w:val="FFFFFF"/>
                <w:sz w:val="13"/>
              </w:rPr>
              <w:t>PUBLISHED STARTING SIGNAL</w:t>
            </w:r>
          </w:p>
        </w:tc>
        <w:tc>
          <w:tcPr>
            <w:tcW w:type="dxa" w:w="4147"/>
            <w:shd w:fill="071E41" w:val="clear"/>
            <w:tcMar>
              <w:top w:w="60" w:type="dxa"/>
              <w:start w:w="70" w:type="dxa"/>
              <w:bottom w:w="60" w:type="dxa"/>
              <w:end w:w="70" w:type="dxa"/>
            </w:tcMar>
          </w:tcPr>
          <w:p>
            <w:pPr>
              <w:spacing w:before="0" w:after="0"/>
            </w:pPr>
            <w:r/>
            <w:r>
              <w:rPr>
                <w:rFonts w:ascii="Aptos" w:hAnsi="Aptos"/>
                <w:b/>
                <w:i w:val="0"/>
                <w:color w:val="FFFFFF"/>
                <w:sz w:val="13"/>
              </w:rPr>
              <w:t>WHY ASSESS THIS ROUTE</w:t>
            </w:r>
          </w:p>
        </w:tc>
      </w:tr>
      <w:tr>
        <w:trPr>
          <w:cantSplit/>
        </w:trPr>
        <w:tc>
          <w:tcPr>
            <w:tcW w:type="dxa" w:w="2620"/>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PKG-01</w:t>
              <w:br/>
              <w:t>Packlane</w:t>
            </w:r>
          </w:p>
        </w:tc>
        <w:tc>
          <w:tcPr>
            <w:tcW w:type="dxa" w:w="3484"/>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Product dependent.</w:t>
            </w:r>
          </w:p>
        </w:tc>
        <w:tc>
          <w:tcPr>
            <w:tcW w:type="dxa" w:w="4147"/>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A first-choice packaging conversation for a DTC product launch, subscription, giftable beauty, consumer...</w:t>
            </w:r>
          </w:p>
        </w:tc>
      </w:tr>
      <w:tr>
        <w:trPr>
          <w:cantSplit/>
        </w:trPr>
        <w:tc>
          <w:tcPr>
            <w:tcW w:type="dxa" w:w="2620"/>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PKG-02</w:t>
              <w:br/>
              <w:t>Pakfactory</w:t>
            </w:r>
          </w:p>
        </w:tc>
        <w:tc>
          <w:tcPr>
            <w:tcW w:type="dxa" w:w="3484"/>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MOQ is product-specific and quote-required.</w:t>
            </w:r>
          </w:p>
        </w:tc>
        <w:tc>
          <w:tcPr>
            <w:tcW w:type="dxa" w:w="4147"/>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Best when a brand has outgrown a basic online box order and needs stronger structural design, inserts,...</w:t>
            </w:r>
          </w:p>
        </w:tc>
      </w:tr>
      <w:tr>
        <w:trPr>
          <w:cantSplit/>
        </w:trPr>
        <w:tc>
          <w:tcPr>
            <w:tcW w:type="dxa" w:w="2620"/>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PKG-03</w:t>
              <w:br/>
              <w:t>Empress Packaging</w:t>
            </w:r>
          </w:p>
        </w:tc>
        <w:tc>
          <w:tcPr>
            <w:tcW w:type="dxa" w:w="3484"/>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Public FAQ says MOQ varies by packaging type and customization.</w:t>
            </w:r>
          </w:p>
        </w:tc>
        <w:tc>
          <w:tcPr>
            <w:tcW w:type="dxa" w:w="4147"/>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A useful quote comparison for founders who want custom packaging options, direct US contact channels,...</w:t>
            </w:r>
          </w:p>
        </w:tc>
      </w:tr>
      <w:tr>
        <w:trPr>
          <w:cantSplit/>
        </w:trPr>
        <w:tc>
          <w:tcPr>
            <w:tcW w:type="dxa" w:w="2620"/>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PKG-04</w:t>
              <w:br/>
              <w:t>Refine Packaging</w:t>
            </w:r>
          </w:p>
        </w:tc>
        <w:tc>
          <w:tcPr>
            <w:tcW w:type="dxa" w:w="3484"/>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Public materials describe low minimums but no universal MOQ.</w:t>
            </w:r>
          </w:p>
        </w:tc>
        <w:tc>
          <w:tcPr>
            <w:tcW w:type="dxa" w:w="4147"/>
            <w:shd w:fill="F5F8FC"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A good fit for beauty, gifting, consumer, and retail brands that need a more consultative packaging...</w:t>
            </w:r>
          </w:p>
        </w:tc>
      </w:tr>
      <w:tr>
        <w:trPr>
          <w:cantSplit/>
        </w:trPr>
        <w:tc>
          <w:tcPr>
            <w:tcW w:type="dxa" w:w="2620"/>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i w:val="0"/>
                <w:color w:val="0B2D57"/>
                <w:sz w:val="13"/>
              </w:rPr>
              <w:t>PKG-05</w:t>
              <w:br/>
              <w:t>Packmojo</w:t>
            </w:r>
          </w:p>
        </w:tc>
        <w:tc>
          <w:tcPr>
            <w:tcW w:type="dxa" w:w="3484"/>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Product-specific.</w:t>
            </w:r>
          </w:p>
        </w:tc>
        <w:tc>
          <w:tcPr>
            <w:tcW w:type="dxa" w:w="4147"/>
            <w:shd w:fill="FFFFFF" w:val="clear"/>
            <w:tcBorders>
              <w:bottom w:val="single" w:sz="3" w:color="D7DEE8"/>
            </w:tcBorders>
            <w:tcMar>
              <w:top w:w="55" w:type="dxa"/>
              <w:start w:w="70" w:type="dxa"/>
              <w:bottom w:w="55" w:type="dxa"/>
              <w:end w:w="70" w:type="dxa"/>
            </w:tcMar>
          </w:tcPr>
          <w:p>
            <w:pPr>
              <w:keepLines/>
              <w:spacing w:before="0" w:after="0" w:line="221" w:lineRule="auto"/>
            </w:pPr>
            <w:r/>
            <w:r>
              <w:rPr>
                <w:rFonts w:ascii="Aptos" w:hAnsi="Aptos"/>
                <w:b w:val="0"/>
                <w:i w:val="0"/>
                <w:color w:val="1E2730"/>
                <w:sz w:val="13"/>
              </w:rPr>
              <w:t>Useful for brands that need a more premium or internationally sourced packaging solution, can plan...</w:t>
            </w:r>
          </w:p>
        </w:tc>
      </w:tr>
    </w:tbl>
    <w:p>
      <w:pPr>
        <w:widowControl/>
      </w:pPr>
      <w:r>
        <w:br w:type="page"/>
      </w:r>
    </w:p>
    <w:p>
      <w:pPr>
        <w:keepNext/>
        <w:widowControl/>
        <w:spacing w:before="0" w:after="60"/>
      </w:pPr>
      <w:r>
        <w:rPr>
          <w:rFonts w:ascii="Aptos" w:hAnsi="Aptos"/>
          <w:b/>
          <w:i w:val="0"/>
          <w:color w:val="3978D7"/>
          <w:sz w:val="16"/>
        </w:rPr>
        <w:t>PKG-01 | PACKAGING</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Packlane</w:t>
            </w:r>
          </w:p>
          <w:p>
            <w:pPr>
              <w:keepLines/>
              <w:spacing w:before="0" w:after="0"/>
            </w:pPr>
            <w:r>
              <w:rPr>
                <w:rFonts w:ascii="Aptos" w:hAnsi="Aptos"/>
                <w:b/>
                <w:i w:val="0"/>
                <w:color w:val="DCEBFF"/>
                <w:sz w:val="17"/>
              </w:rPr>
              <w:t>Custom packaging | DTC, retail + launch runs</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Mailer boxes, product boxes, shipping boxes, pouches, paper bags, tape, tissue, wrapping paper, online 3D design, instant pricing, custom quote support, dielines, artwork/prepress review, and rush options.</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A first-choice packaging conversation for a DTC product launch, subscription, giftable beauty, consumer product, or early retail test when founders need short turns and hands-on art/prepress support.</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Product dependent. Public pages market 'tiny minimums'; custom sample/order quantities can be very low on selected products. Confirm exact MOQ by box type, size, print treatment, and product.</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Standard turnaround for most custom orders is about 10 business days; rush is 7 business days, excluding transit. Checkout provides current estimate.</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Packaging support / custom quote team. contact@packlane.com | 877-508-1227 | Prepress: prepress@packlane.com.</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Product dimensions/weight, intended use, rough box size, packaging objective, desired quantity, visual assets, artwork/dieline readiness, target date, and shipping destination.</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Confirm true MOQ, material/structure, sample/proof process, setup, production/transit, source of record for artwork, sustainability options, print limitations, freight, reprint/claim policy, and price breaks.</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Standard turnaround excludes transit and complex/bulk setup. Start packaging earlier than the marketing launch date, especially for seasonal or retail demand.</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packlane.com  |  Public-source check: July 1, 2026</w:t>
      </w:r>
    </w:p>
    <w:p>
      <w:pPr>
        <w:widowControl/>
      </w:pPr>
      <w:r>
        <w:br w:type="page"/>
      </w:r>
    </w:p>
    <w:p>
      <w:pPr>
        <w:keepNext/>
        <w:widowControl/>
        <w:spacing w:before="0" w:after="60"/>
      </w:pPr>
      <w:r>
        <w:rPr>
          <w:rFonts w:ascii="Aptos" w:hAnsi="Aptos"/>
          <w:b/>
          <w:i w:val="0"/>
          <w:color w:val="3978D7"/>
          <w:sz w:val="16"/>
        </w:rPr>
        <w:t>PKG-02 | PACKAGING</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Pakfactory</w:t>
            </w:r>
          </w:p>
          <w:p>
            <w:pPr>
              <w:keepLines/>
              <w:spacing w:before="0" w:after="0"/>
            </w:pPr>
            <w:r>
              <w:rPr>
                <w:rFonts w:ascii="Aptos" w:hAnsi="Aptos"/>
                <w:b/>
                <w:i w:val="0"/>
                <w:color w:val="DCEBFF"/>
                <w:sz w:val="17"/>
              </w:rPr>
              <w:t>Custom packaging | Structural design + broader formats</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Folding cartons, corrugated boxes, rigid boxes, displays, labels/stickers, inserts, paper bags, reusable bags, mailer bags, pouches, tin, eco packaging, structural design/engineering, artwork design, samples, and prototyping.</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Best when a brand has outgrown a basic online box order and needs stronger structural design, inserts, retail display, flexible packaging, or a broader set of packaging formats.</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MOQ is product-specific and quote-required. The quote form asks for product, quantity, and time frame; its support center is the appropriate authority for final product MOQ.</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Time varies by product, design, and production location. Ask for production time, transit, rush option, sample/prototype timeline, artwork approval, and a critical-path plan.</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Product specialists / sales inquiries. quote@pakfactory.com | 1-888-622-2819 | Monday-Friday, 9:30 a.m.-6:30 p.m. EST.</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Product specs, size, material/finish preference, retail/DTC need, quantity, budget, time frame, dieline/artwork status, sample needs, shipping destination, and handling requirement.</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Clarify tool/die charges, MOQ, samples, structural design fees, material spec, print proof, manufacturing country, shipment method, freight, quality inspection, deposit terms, and re-order lead time.</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Packaging capability breadth is a strength, but it requires a founder to be specific about the actual job. A vague 'premium box' brief will not deliver a usable quote.</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pakfactory.com  |  Public-source check: July 1, 2026</w:t>
      </w:r>
    </w:p>
    <w:p>
      <w:pPr>
        <w:widowControl/>
      </w:pPr>
      <w:r>
        <w:br w:type="page"/>
      </w:r>
    </w:p>
    <w:p>
      <w:pPr>
        <w:keepNext/>
        <w:widowControl/>
        <w:spacing w:before="0" w:after="60"/>
      </w:pPr>
      <w:r>
        <w:rPr>
          <w:rFonts w:ascii="Aptos" w:hAnsi="Aptos"/>
          <w:b/>
          <w:i w:val="0"/>
          <w:color w:val="3978D7"/>
          <w:sz w:val="16"/>
        </w:rPr>
        <w:t>PKG-03 | PACKAGING</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Empress Packaging</w:t>
            </w:r>
          </w:p>
          <w:p>
            <w:pPr>
              <w:keepLines/>
              <w:spacing w:before="0" w:after="0"/>
            </w:pPr>
            <w:r>
              <w:rPr>
                <w:rFonts w:ascii="Aptos" w:hAnsi="Aptos"/>
                <w:b/>
                <w:i w:val="0"/>
                <w:color w:val="DCEBFF"/>
                <w:sz w:val="17"/>
              </w:rPr>
              <w:t>Custom packaging | Value-led boxes + food/retail</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Custom cardboard, kraft, corrugated, rigid, and eco-friendly packaging with nationwide US shipping. Public site positions custom packaging across food, consumer, and retail uses.</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A useful quote comparison for founders who want custom packaging options, direct US contact channels, and flexibility to explore a small or unusual initial packaging need.</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Public FAQ says MOQ varies by packaging type and customization. A recent product-specific blog page says no minimum for custom donut boxes. Treat the final quote, product type, and finish as controlling.</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Product/finish dependent. A current customer-service page says direct email/phone available; ask for item-specific production, proof, and transit schedule in the first inquiry.</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Customer service / sales team. query@empresspackaging.com | 888-900-7629.</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Use case, product dimensions, packaging style, material/finish preference, expected quantity, visual references, artwork/dieline status, desired delivery date, and budget.</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Ask for real MOQ for the exact box, proof and revision policy, template/dieline, material spec, setup charges, turnaround, freight, rush, payment terms, damage/reprint policy, and price breaks.</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Do not generalize a single product page's 'no minimum' statement to all packaging. Product material, printing, structure, and finish change economics.</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empresspackaging.com  |  Public-source check: July 1, 2026</w:t>
      </w:r>
    </w:p>
    <w:p>
      <w:pPr>
        <w:widowControl/>
      </w:pPr>
      <w:r>
        <w:br w:type="page"/>
      </w:r>
    </w:p>
    <w:p>
      <w:pPr>
        <w:keepNext/>
        <w:widowControl/>
        <w:spacing w:before="0" w:after="60"/>
      </w:pPr>
      <w:r>
        <w:rPr>
          <w:rFonts w:ascii="Aptos" w:hAnsi="Aptos"/>
          <w:b/>
          <w:i w:val="0"/>
          <w:color w:val="3978D7"/>
          <w:sz w:val="16"/>
        </w:rPr>
        <w:t>PKG-04 | PACKAGING</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Refine Packaging</w:t>
            </w:r>
          </w:p>
          <w:p>
            <w:pPr>
              <w:keepLines/>
              <w:spacing w:before="0" w:after="0"/>
            </w:pPr>
            <w:r>
              <w:rPr>
                <w:rFonts w:ascii="Aptos" w:hAnsi="Aptos"/>
                <w:b/>
                <w:i w:val="0"/>
                <w:color w:val="DCEBFF"/>
                <w:sz w:val="17"/>
              </w:rPr>
              <w:t>Custom packaging | Retail-ready boxes + supports</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Custom boxes and branded packaging with online quotes, live chat, samples, custom packaging specialists, makeup/perfume/retail packaging, inserts, and premium printing/finish options.</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A good fit for beauty, gifting, consumer, and retail brands that need a more consultative packaging process, faster quote response, and a polished product-box experience.</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Public materials describe low minimums but no universal MOQ. Some item pages give product-specific thresholds; request MOQ for the exact format, material, size, finish, and SKU count.</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Standard completion time is stated as 8-10 business days after final design approval. Custom packaging is also described as taking two to four weeks from design to delivery; quote timing controls.</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Sales / custom packaging specialist. 1-800-725-9660 | live chat / online quote form. Public sales email was not verified in this edition.</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Product size and protection needs, channel, estimated quantity, artwork, desired materials/finish, packaging design constraints, delivery market, target cost, and expected launch date.</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Confirm exact MOQ, proof/dieline timing, design support, production/transit, total landed price, materials and sustainability claims, inserts, retail compliance, payments, and reprint process.</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Quoted response speed is not production speed. Do not schedule a product launch from an initial quote-response promise.</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refinepackaging.com  |  Public-source check: July 1, 2026</w:t>
      </w:r>
    </w:p>
    <w:p>
      <w:pPr>
        <w:widowControl/>
      </w:pPr>
      <w:r>
        <w:br w:type="page"/>
      </w:r>
    </w:p>
    <w:p>
      <w:pPr>
        <w:keepNext/>
        <w:widowControl/>
        <w:spacing w:before="0" w:after="60"/>
      </w:pPr>
      <w:r>
        <w:rPr>
          <w:rFonts w:ascii="Aptos" w:hAnsi="Aptos"/>
          <w:b/>
          <w:i w:val="0"/>
          <w:color w:val="3978D7"/>
          <w:sz w:val="16"/>
        </w:rPr>
        <w:t>PKG-05 | PACKAGING</w:t>
      </w: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25" w:type="dxa"/>
              <w:start w:w="155" w:type="dxa"/>
              <w:bottom w:w="120" w:type="dxa"/>
              <w:end w:w="155" w:type="dxa"/>
            </w:tcMar>
          </w:tcPr>
          <w:p>
            <w:pPr>
              <w:keepLines/>
              <w:spacing w:before="0" w:after="60"/>
            </w:pPr>
            <w:r/>
            <w:r>
              <w:rPr>
                <w:rFonts w:ascii="Aptos Display" w:hAnsi="Aptos Display"/>
                <w:b/>
                <w:i w:val="0"/>
                <w:color w:val="FFFFFF"/>
                <w:sz w:val="42"/>
              </w:rPr>
              <w:t>Packmojo</w:t>
            </w:r>
          </w:p>
          <w:p>
            <w:pPr>
              <w:keepLines/>
              <w:spacing w:before="0" w:after="0"/>
            </w:pPr>
            <w:r>
              <w:rPr>
                <w:rFonts w:ascii="Aptos" w:hAnsi="Aptos"/>
                <w:b/>
                <w:i w:val="0"/>
                <w:color w:val="DCEBFF"/>
                <w:sz w:val="17"/>
              </w:rPr>
              <w:t>Custom packaging | Global-source, moderate-volume</w:t>
            </w:r>
          </w:p>
        </w:tc>
      </w:tr>
    </w:tbl>
    <w:p>
      <w:pPr>
        <w:widowControl/>
        <w:spacing w:after="6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EFF5FF" w:val="clear"/>
            <w:tcMar>
              <w:top w:w="85" w:type="dxa"/>
              <w:start w:w="110" w:type="dxa"/>
              <w:bottom w:w="85" w:type="dxa"/>
              <w:end w:w="110" w:type="dxa"/>
            </w:tcMar>
          </w:tcPr>
          <w:p>
            <w:pPr>
              <w:keepLines/>
              <w:spacing w:before="0" w:after="20"/>
            </w:pPr>
            <w:r/>
            <w:r>
              <w:rPr>
                <w:rFonts w:ascii="Aptos" w:hAnsi="Aptos"/>
                <w:b/>
                <w:i w:val="0"/>
                <w:color w:val="3978D7"/>
                <w:sz w:val="14"/>
              </w:rPr>
              <w:t>PUBLIC CAPABILITY</w:t>
            </w:r>
          </w:p>
          <w:p>
            <w:pPr>
              <w:keepLines/>
              <w:spacing w:before="0" w:after="0" w:line="240" w:lineRule="auto"/>
            </w:pPr>
            <w:r>
              <w:rPr>
                <w:rFonts w:ascii="Aptos" w:hAnsi="Aptos"/>
                <w:b w:val="0"/>
                <w:i w:val="0"/>
                <w:color w:val="1E2730"/>
                <w:sz w:val="16"/>
              </w:rPr>
              <w:t>Custom cartons, mailers, rigid boxes, inserts, dividers, pouches, bags, stickers, tubes, samples, sustainable/FSC options, and direct-to-founder shipping from a vetted production-partner network in China.</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BEST FOUNDER FIT</w:t>
            </w:r>
          </w:p>
          <w:p>
            <w:pPr>
              <w:keepLines/>
              <w:spacing w:before="0" w:after="0" w:line="240" w:lineRule="auto"/>
            </w:pPr>
            <w:r>
              <w:rPr>
                <w:rFonts w:ascii="Aptos" w:hAnsi="Aptos"/>
                <w:b w:val="0"/>
                <w:i w:val="0"/>
                <w:color w:val="1E2730"/>
                <w:sz w:val="16"/>
              </w:rPr>
              <w:t>Useful for brands that need a more premium or internationally sourced packaging solution, can plan ahead, and are ready to balance more favorable unit economics against shipping, production, and cash-flow complexity.</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MOQ / FOOTPRINT</w:t>
            </w:r>
          </w:p>
          <w:p>
            <w:pPr>
              <w:keepLines/>
              <w:spacing w:before="0" w:after="0" w:line="240" w:lineRule="auto"/>
            </w:pPr>
            <w:r>
              <w:rPr>
                <w:rFonts w:ascii="Aptos" w:hAnsi="Aptos"/>
                <w:b w:val="0"/>
                <w:i w:val="0"/>
                <w:color w:val="1E2730"/>
                <w:sz w:val="16"/>
              </w:rPr>
              <w:t>Product-specific. Public examples include 300 units for selected rigid boxes and FSC packaging, and 1,000 units for custom cardboard tubes. Get a quote for the exact package.</w:t>
            </w:r>
          </w:p>
        </w:tc>
        <w:tc>
          <w:tcPr>
            <w:tcW w:type="dxa" w:w="5126"/>
            <w:shd w:fill="FFFFFF" w:val="clear"/>
            <w:tcMar>
              <w:top w:w="85" w:type="dxa"/>
              <w:start w:w="110" w:type="dxa"/>
              <w:bottom w:w="85" w:type="dxa"/>
              <w:end w:w="110" w:type="dxa"/>
            </w:tcMar>
          </w:tcPr>
          <w:p>
            <w:pPr>
              <w:keepLines/>
              <w:spacing w:before="0" w:after="20"/>
            </w:pPr>
            <w:r/>
            <w:r>
              <w:rPr>
                <w:rFonts w:ascii="Aptos" w:hAnsi="Aptos"/>
                <w:b/>
                <w:i w:val="0"/>
                <w:color w:val="C89B2C"/>
                <w:sz w:val="14"/>
              </w:rPr>
              <w:t>PUBLISHED TIMING SIGNAL</w:t>
            </w:r>
          </w:p>
          <w:p>
            <w:pPr>
              <w:keepLines/>
              <w:spacing w:before="0" w:after="0" w:line="240" w:lineRule="auto"/>
            </w:pPr>
            <w:r>
              <w:rPr>
                <w:rFonts w:ascii="Aptos" w:hAnsi="Aptos"/>
                <w:b w:val="0"/>
                <w:i w:val="0"/>
                <w:color w:val="1E2730"/>
                <w:sz w:val="16"/>
              </w:rPr>
              <w:t>Typical production lead time: 12-16 days; larger bulk orders 3-4 weeks. Shipping can add 1-3 weeks by air or 4-8 weeks by ocean, depending on method.</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DCEBFF" w:val="clear"/>
            <w:tcMar>
              <w:top w:w="85" w:type="dxa"/>
              <w:start w:w="110" w:type="dxa"/>
              <w:bottom w:w="85" w:type="dxa"/>
              <w:end w:w="110" w:type="dxa"/>
            </w:tcMar>
          </w:tcPr>
          <w:p>
            <w:pPr>
              <w:keepLines/>
              <w:spacing w:before="0" w:after="20"/>
            </w:pPr>
            <w:r/>
            <w:r>
              <w:rPr>
                <w:rFonts w:ascii="Aptos" w:hAnsi="Aptos"/>
                <w:b/>
                <w:i w:val="0"/>
                <w:color w:val="071E41"/>
                <w:sz w:val="14"/>
              </w:rPr>
              <w:t>PUBLIC NEW-PROJECT CONTACT ROUTE</w:t>
            </w:r>
          </w:p>
          <w:p>
            <w:pPr>
              <w:keepLines/>
              <w:spacing w:before="0" w:after="0" w:line="240" w:lineRule="auto"/>
            </w:pPr>
            <w:r>
              <w:rPr>
                <w:rFonts w:ascii="Aptos" w:hAnsi="Aptos"/>
                <w:b w:val="0"/>
                <w:i w:val="0"/>
                <w:color w:val="1E2730"/>
                <w:sz w:val="17"/>
              </w:rPr>
              <w:t>Get a Quote / contact team via PackMojo website. A public sales email and phone were not verified in this edition.</w:t>
            </w:r>
          </w:p>
        </w:tc>
      </w:tr>
    </w:tbl>
    <w:p>
      <w:pPr>
        <w:widowControl/>
        <w:spacing w:after="20"/>
      </w:pPr>
    </w:p>
    <w:tbl>
      <w:tblPr>
        <w:tblW w:type="auto" w:w="0"/>
        <w:jc w:val="center"/>
        <w:tblLayout w:type="fixed"/>
        <w:tblLook w:firstColumn="1" w:firstRow="1" w:lastColumn="0" w:lastRow="0" w:noHBand="0" w:noVBand="1" w:val="04A0"/>
      </w:tblPr>
      <w:tblGrid>
        <w:gridCol w:w="5126"/>
        <w:gridCol w:w="5126"/>
      </w:tblGrid>
      <w:tr>
        <w:trPr>
          <w:cantSplit/>
        </w:trPr>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ARRIVE WITH</w:t>
            </w:r>
          </w:p>
          <w:p>
            <w:pPr>
              <w:keepLines/>
              <w:spacing w:before="0" w:after="0" w:line="240" w:lineRule="auto"/>
            </w:pPr>
            <w:r>
              <w:rPr>
                <w:rFonts w:ascii="Aptos" w:hAnsi="Aptos"/>
                <w:b w:val="0"/>
                <w:i w:val="0"/>
                <w:color w:val="1E2730"/>
                <w:sz w:val="16"/>
              </w:rPr>
              <w:t>Exact packaging structural brief, quantity, artwork/dieline readiness, target cost, shipping preference, launch date, ability to purchase samples, and plan for freight/duty/cash cycle.</w:t>
            </w:r>
          </w:p>
        </w:tc>
        <w:tc>
          <w:tcPr>
            <w:tcW w:type="dxa" w:w="5126"/>
            <w:shd w:fill="F5F8FC" w:val="clear"/>
            <w:tcMar>
              <w:top w:w="85" w:type="dxa"/>
              <w:start w:w="110" w:type="dxa"/>
              <w:bottom w:w="85" w:type="dxa"/>
              <w:end w:w="110" w:type="dxa"/>
            </w:tcMar>
          </w:tcPr>
          <w:p>
            <w:pPr>
              <w:keepLines/>
              <w:spacing w:before="0" w:after="20"/>
            </w:pPr>
            <w:r/>
            <w:r>
              <w:rPr>
                <w:rFonts w:ascii="Aptos" w:hAnsi="Aptos"/>
                <w:b/>
                <w:i w:val="0"/>
                <w:color w:val="0B2D57"/>
                <w:sz w:val="14"/>
              </w:rPr>
              <w:t>QUALIFICATION FOCUS</w:t>
            </w:r>
          </w:p>
          <w:p>
            <w:pPr>
              <w:keepLines/>
              <w:spacing w:before="0" w:after="0" w:line="240" w:lineRule="auto"/>
            </w:pPr>
            <w:r>
              <w:rPr>
                <w:rFonts w:ascii="Aptos" w:hAnsi="Aptos"/>
                <w:b w:val="0"/>
                <w:i w:val="0"/>
                <w:color w:val="1E2730"/>
                <w:sz w:val="16"/>
              </w:rPr>
              <w:t>Confirm product MOQ, tooling, sample cost, production partner/location, materials and certifications, quality checks, Incoterms, freight method, duties, delivery date, payment terms, and reprint/defect process.</w:t>
            </w:r>
          </w:p>
        </w:tc>
      </w:tr>
    </w:tbl>
    <w:p>
      <w:pPr>
        <w:widowControl/>
        <w:spacing w:after="20"/>
      </w:pPr>
    </w:p>
    <w:tbl>
      <w:tblPr>
        <w:tblW w:type="auto" w:w="0"/>
        <w:jc w:val="center"/>
        <w:tblLayout w:type="fixed"/>
        <w:tblLook w:firstColumn="1" w:firstRow="1" w:lastColumn="0" w:lastRow="0" w:noHBand="0" w:noVBand="1" w:val="04A0"/>
      </w:tblPr>
      <w:tblGrid>
        <w:gridCol w:w="10252"/>
      </w:tblGrid>
      <w:tr>
        <w:trPr>
          <w:cantSplit/>
        </w:trPr>
        <w:tc>
          <w:tcPr>
            <w:tcW w:type="dxa" w:w="10252"/>
            <w:shd w:fill="FFF5E7" w:val="clear"/>
            <w:tcMar>
              <w:top w:w="85" w:type="dxa"/>
              <w:start w:w="110" w:type="dxa"/>
              <w:bottom w:w="85" w:type="dxa"/>
              <w:end w:w="110" w:type="dxa"/>
            </w:tcMar>
          </w:tcPr>
          <w:p>
            <w:pPr>
              <w:keepLines/>
              <w:spacing w:before="0" w:after="20"/>
            </w:pPr>
            <w:r/>
            <w:r>
              <w:rPr>
                <w:rFonts w:ascii="Aptos" w:hAnsi="Aptos"/>
                <w:b/>
                <w:i w:val="0"/>
                <w:color w:val="C89B2C"/>
                <w:sz w:val="14"/>
              </w:rPr>
              <w:t>FOUNDER WATCH-OUT</w:t>
            </w:r>
          </w:p>
          <w:p>
            <w:pPr>
              <w:keepLines/>
              <w:spacing w:before="0" w:after="0" w:line="240" w:lineRule="auto"/>
            </w:pPr>
            <w:r>
              <w:rPr>
                <w:rFonts w:ascii="Aptos" w:hAnsi="Aptos"/>
                <w:b w:val="0"/>
                <w:i w:val="0"/>
                <w:color w:val="1E2730"/>
                <w:sz w:val="16"/>
              </w:rPr>
              <w:t>The production lead time is not the landed lead time. Ocean, air, customs, quality inspection, samples, and contingency inventory must be planned into the launch calendar.</w:t>
            </w:r>
          </w:p>
        </w:tc>
      </w:tr>
    </w:tbl>
    <w:p>
      <w:pPr>
        <w:keepLines/>
        <w:widowControl/>
        <w:spacing w:before="80" w:after="0"/>
      </w:pPr>
      <w:r>
        <w:rPr>
          <w:rFonts w:ascii="Aptos" w:hAnsi="Aptos"/>
          <w:b/>
          <w:i w:val="0"/>
          <w:color w:val="4B5563"/>
          <w:sz w:val="14"/>
        </w:rPr>
        <w:t xml:space="preserve">PUBLIC-SOURCE SNAPSHOT: </w:t>
      </w:r>
      <w:r>
        <w:rPr>
          <w:rFonts w:ascii="Aptos" w:hAnsi="Aptos"/>
          <w:b w:val="0"/>
          <w:i w:val="0"/>
          <w:color w:val="4B5563"/>
          <w:sz w:val="14"/>
        </w:rPr>
        <w:t>packmojo.com  |  Public-source check: July 1, 2026</w:t>
      </w:r>
    </w:p>
    <w:p>
      <w:pPr>
        <w:widowControl/>
      </w:pPr>
      <w:r>
        <w:br w:type="page"/>
      </w:r>
    </w:p>
    <w:p>
      <w:pPr>
        <w:keepNext/>
        <w:widowControl/>
        <w:spacing w:before="0" w:after="60"/>
      </w:pPr>
      <w:r>
        <w:rPr>
          <w:rFonts w:ascii="Aptos" w:hAnsi="Aptos"/>
          <w:b/>
          <w:i w:val="0"/>
          <w:color w:val="3978D7"/>
          <w:sz w:val="16"/>
        </w:rPr>
        <w:t>10 | FOUNDER PARTNER-QUALIFICATION TOOLKIT</w:t>
      </w:r>
    </w:p>
    <w:p>
      <w:pPr>
        <w:keepNext/>
        <w:widowControl/>
        <w:spacing w:before="0" w:after="80"/>
      </w:pPr>
      <w:r>
        <w:rPr>
          <w:rFonts w:ascii="Aptos Display" w:hAnsi="Aptos Display"/>
          <w:b/>
          <w:i w:val="0"/>
          <w:color w:val="071E41"/>
          <w:sz w:val="40"/>
        </w:rPr>
        <w:t>Prepare for a Better First Conversation</w:t>
      </w:r>
    </w:p>
    <w:p>
      <w:pPr>
        <w:keepNext/>
        <w:widowControl/>
        <w:spacing w:before="0" w:after="200" w:line="252" w:lineRule="auto"/>
      </w:pPr>
      <w:r>
        <w:rPr>
          <w:rFonts w:ascii="Aptos" w:hAnsi="Aptos"/>
          <w:b w:val="0"/>
          <w:i w:val="0"/>
          <w:color w:val="4B5563"/>
          <w:sz w:val="17"/>
        </w:rPr>
        <w:t>The purpose of the first conversation is not to impress the partner. It is to determine whether there is a credible product, commercial, and operating fit.</w:t>
      </w:r>
    </w:p>
    <w:tbl>
      <w:tblPr>
        <w:tblW w:type="auto" w:w="0"/>
        <w:jc w:val="center"/>
        <w:tblLayout w:type="fixed"/>
        <w:tblLook w:firstColumn="1" w:firstRow="1" w:lastColumn="0" w:lastRow="0" w:noHBand="0" w:noVBand="1" w:val="04A0"/>
      </w:tblPr>
      <w:tblGrid>
        <w:gridCol w:w="10252"/>
      </w:tblGrid>
      <w:tr>
        <w:tc>
          <w:tcPr>
            <w:tcW w:type="dxa" w:w="10252"/>
            <w:shd w:fill="EFF5FF" w:val="clear"/>
            <w:tcBorders>
              <w:top w:val="single" w:sz="10" w:color="3978D7"/>
              <w:left w:val="single" w:sz="10" w:color="3978D7"/>
              <w:bottom w:val="single" w:sz="10" w:color="3978D7"/>
              <w:right w:val="single" w:sz="10" w:color="3978D7"/>
            </w:tcBorders>
            <w:tcMar>
              <w:top w:w="110" w:type="dxa"/>
              <w:start w:w="130" w:type="dxa"/>
              <w:bottom w:w="110" w:type="dxa"/>
              <w:end w:w="130" w:type="dxa"/>
            </w:tcMar>
          </w:tcPr>
          <w:p>
            <w:pPr>
              <w:keepLines/>
              <w:spacing w:before="0" w:after="40"/>
            </w:pPr>
            <w:r/>
            <w:r>
              <w:rPr>
                <w:rFonts w:ascii="Aptos" w:hAnsi="Aptos"/>
                <w:b/>
                <w:i w:val="0"/>
                <w:color w:val="3978D7"/>
                <w:sz w:val="16"/>
              </w:rPr>
              <w:t>WHAT TO SEND BEFORE THE FIRST MEETING</w:t>
            </w:r>
          </w:p>
          <w:p>
            <w:pPr>
              <w:keepLines/>
              <w:spacing w:before="0" w:after="0" w:line="247" w:lineRule="auto"/>
            </w:pPr>
            <w:r>
              <w:rPr>
                <w:rFonts w:ascii="Aptos" w:hAnsi="Aptos"/>
                <w:b w:val="0"/>
                <w:i w:val="0"/>
                <w:color w:val="1E2730"/>
                <w:sz w:val="17"/>
              </w:rPr>
              <w:t>Use the right-level brief. Do not submit confidential formula, investor, or customer information before understanding the partner’s process and any NDA requirements. A good first package contains only what is needed to establish fit.</w:t>
            </w:r>
          </w:p>
        </w:tc>
      </w:tr>
    </w:tbl>
    <w:p>
      <w:pPr>
        <w:widowControl/>
        <w:spacing w:after="40"/>
      </w:pPr>
    </w:p>
    <w:tbl>
      <w:tblPr>
        <w:tblW w:type="auto" w:w="0"/>
        <w:jc w:val="center"/>
        <w:tblLayout w:type="fixed"/>
        <w:tblLook w:firstColumn="1" w:firstRow="1" w:lastColumn="0" w:lastRow="0" w:noHBand="0" w:noVBand="1" w:val="04A0"/>
      </w:tblPr>
      <w:tblGrid>
        <w:gridCol w:w="3417"/>
        <w:gridCol w:w="3417"/>
        <w:gridCol w:w="3417"/>
      </w:tblGrid>
      <w:tr>
        <w:trPr>
          <w:tblHeader w:val="true"/>
        </w:trPr>
        <w:tc>
          <w:tcPr>
            <w:tcW w:type="dxa" w:w="2376"/>
            <w:shd w:fill="071E41" w:val="clear"/>
            <w:tcMar>
              <w:top w:w="75" w:type="dxa"/>
              <w:start w:w="85" w:type="dxa"/>
              <w:bottom w:w="75" w:type="dxa"/>
              <w:end w:w="85" w:type="dxa"/>
            </w:tcMar>
          </w:tcPr>
          <w:p>
            <w:pPr>
              <w:spacing w:before="0" w:after="0"/>
            </w:pPr>
            <w:r/>
            <w:r>
              <w:rPr>
                <w:rFonts w:ascii="Aptos" w:hAnsi="Aptos"/>
                <w:b/>
                <w:i w:val="0"/>
                <w:color w:val="FFFFFF"/>
                <w:sz w:val="14"/>
              </w:rPr>
              <w:t>PARTNER TYPE</w:t>
            </w:r>
          </w:p>
        </w:tc>
        <w:tc>
          <w:tcPr>
            <w:tcW w:type="dxa" w:w="4104"/>
            <w:shd w:fill="071E41" w:val="clear"/>
            <w:tcMar>
              <w:top w:w="75" w:type="dxa"/>
              <w:start w:w="85" w:type="dxa"/>
              <w:bottom w:w="75" w:type="dxa"/>
              <w:end w:w="85" w:type="dxa"/>
            </w:tcMar>
          </w:tcPr>
          <w:p>
            <w:pPr>
              <w:spacing w:before="0" w:after="0"/>
            </w:pPr>
            <w:r/>
            <w:r>
              <w:rPr>
                <w:rFonts w:ascii="Aptos" w:hAnsi="Aptos"/>
                <w:b/>
                <w:i w:val="0"/>
                <w:color w:val="FFFFFF"/>
                <w:sz w:val="14"/>
              </w:rPr>
              <w:t>MINIMUM INFORMATION TO PREPARE</w:t>
            </w:r>
          </w:p>
        </w:tc>
        <w:tc>
          <w:tcPr>
            <w:tcW w:type="dxa" w:w="3772"/>
            <w:shd w:fill="071E41" w:val="clear"/>
            <w:tcMar>
              <w:top w:w="75" w:type="dxa"/>
              <w:start w:w="85" w:type="dxa"/>
              <w:bottom w:w="75" w:type="dxa"/>
              <w:end w:w="85" w:type="dxa"/>
            </w:tcMar>
          </w:tcPr>
          <w:p>
            <w:pPr>
              <w:spacing w:before="0" w:after="0"/>
            </w:pPr>
            <w:r/>
            <w:r>
              <w:rPr>
                <w:rFonts w:ascii="Aptos" w:hAnsi="Aptos"/>
                <w:b/>
                <w:i w:val="0"/>
                <w:color w:val="FFFFFF"/>
                <w:sz w:val="14"/>
              </w:rPr>
              <w:t>USEFUL ATTACHMENTS</w:t>
            </w:r>
          </w:p>
        </w:tc>
      </w:tr>
      <w:tr>
        <w:trPr>
          <w:cantSplit/>
        </w:trPr>
        <w:tc>
          <w:tcPr>
            <w:tcW w:type="dxa" w:w="2376"/>
            <w:shd w:fill="FFFFFF" w:val="clear"/>
            <w:tcBorders>
              <w:bottom w:val="single" w:sz="3" w:color="D7DEE8"/>
            </w:tcBorders>
            <w:tcMar>
              <w:top w:w="85" w:type="dxa"/>
              <w:start w:w="85" w:type="dxa"/>
              <w:bottom w:w="85" w:type="dxa"/>
              <w:end w:w="85" w:type="dxa"/>
            </w:tcMar>
          </w:tcPr>
          <w:p>
            <w:pPr>
              <w:keepLines/>
              <w:spacing w:before="0" w:after="0" w:line="238" w:lineRule="auto"/>
            </w:pPr>
            <w:r/>
            <w:r>
              <w:rPr>
                <w:rFonts w:ascii="Aptos" w:hAnsi="Aptos"/>
                <w:b/>
                <w:i w:val="0"/>
                <w:color w:val="0B2D57"/>
                <w:sz w:val="15"/>
              </w:rPr>
              <w:t>Manufacturer / co-packer</w:t>
            </w:r>
          </w:p>
        </w:tc>
        <w:tc>
          <w:tcPr>
            <w:tcW w:type="dxa" w:w="4104"/>
            <w:shd w:fill="FFFFFF" w:val="clear"/>
            <w:tcBorders>
              <w:bottom w:val="single" w:sz="3" w:color="D7DEE8"/>
            </w:tcBorders>
            <w:tcMar>
              <w:top w:w="85" w:type="dxa"/>
              <w:start w:w="85" w:type="dxa"/>
              <w:bottom w:w="85" w:type="dxa"/>
              <w:end w:w="85" w:type="dxa"/>
            </w:tcMar>
          </w:tcPr>
          <w:p>
            <w:pPr>
              <w:keepLines/>
              <w:spacing w:before="0" w:after="0" w:line="238" w:lineRule="auto"/>
            </w:pPr>
            <w:r/>
            <w:r>
              <w:rPr>
                <w:rFonts w:ascii="Aptos" w:hAnsi="Aptos"/>
                <w:b w:val="0"/>
                <w:i w:val="0"/>
                <w:color w:val="1E2730"/>
                <w:sz w:val="15"/>
              </w:rPr>
              <w:t>Product category; formula/recipe status; pack size; ingredient/material constraints; first quantity; target cost; launch timing; channel; compliance needs.</w:t>
            </w:r>
          </w:p>
        </w:tc>
        <w:tc>
          <w:tcPr>
            <w:tcW w:type="dxa" w:w="3772"/>
            <w:shd w:fill="FFFFFF" w:val="clear"/>
            <w:tcBorders>
              <w:bottom w:val="single" w:sz="3" w:color="D7DEE8"/>
            </w:tcBorders>
            <w:tcMar>
              <w:top w:w="85" w:type="dxa"/>
              <w:start w:w="85" w:type="dxa"/>
              <w:bottom w:w="85" w:type="dxa"/>
              <w:end w:w="85" w:type="dxa"/>
            </w:tcMar>
          </w:tcPr>
          <w:p>
            <w:pPr>
              <w:keepLines/>
              <w:spacing w:before="0" w:after="0" w:line="238" w:lineRule="auto"/>
            </w:pPr>
            <w:r/>
            <w:r>
              <w:rPr>
                <w:rFonts w:ascii="Aptos" w:hAnsi="Aptos"/>
                <w:b w:val="0"/>
                <w:i w:val="0"/>
                <w:color w:val="1E2730"/>
                <w:sz w:val="15"/>
              </w:rPr>
              <w:t>Product one-pager; product spec; ingredient/allergen notes; packaging concept; simple forecast; launch timeline.</w:t>
            </w:r>
          </w:p>
        </w:tc>
      </w:tr>
      <w:tr>
        <w:trPr>
          <w:cantSplit/>
        </w:trPr>
        <w:tc>
          <w:tcPr>
            <w:tcW w:type="dxa" w:w="2376"/>
            <w:shd w:fill="F5F8FC" w:val="clear"/>
            <w:tcBorders>
              <w:bottom w:val="single" w:sz="3" w:color="D7DEE8"/>
            </w:tcBorders>
            <w:tcMar>
              <w:top w:w="85" w:type="dxa"/>
              <w:start w:w="85" w:type="dxa"/>
              <w:bottom w:w="85" w:type="dxa"/>
              <w:end w:w="85" w:type="dxa"/>
            </w:tcMar>
          </w:tcPr>
          <w:p>
            <w:pPr>
              <w:keepLines/>
              <w:spacing w:before="0" w:after="0" w:line="238" w:lineRule="auto"/>
            </w:pPr>
            <w:r/>
            <w:r>
              <w:rPr>
                <w:rFonts w:ascii="Aptos" w:hAnsi="Aptos"/>
                <w:b/>
                <w:i w:val="0"/>
                <w:color w:val="0B2D57"/>
                <w:sz w:val="15"/>
              </w:rPr>
              <w:t>Beauty manufacturer</w:t>
            </w:r>
          </w:p>
        </w:tc>
        <w:tc>
          <w:tcPr>
            <w:tcW w:type="dxa" w:w="4104"/>
            <w:shd w:fill="F5F8FC" w:val="clear"/>
            <w:tcBorders>
              <w:bottom w:val="single" w:sz="3" w:color="D7DEE8"/>
            </w:tcBorders>
            <w:tcMar>
              <w:top w:w="85" w:type="dxa"/>
              <w:start w:w="85" w:type="dxa"/>
              <w:bottom w:w="85" w:type="dxa"/>
              <w:end w:w="85" w:type="dxa"/>
            </w:tcMar>
          </w:tcPr>
          <w:p>
            <w:pPr>
              <w:keepLines/>
              <w:spacing w:before="0" w:after="0" w:line="238" w:lineRule="auto"/>
            </w:pPr>
            <w:r/>
            <w:r>
              <w:rPr>
                <w:rFonts w:ascii="Aptos" w:hAnsi="Aptos"/>
                <w:b w:val="0"/>
                <w:i w:val="0"/>
                <w:color w:val="1E2730"/>
                <w:sz w:val="15"/>
              </w:rPr>
              <w:t>Product type; claims boundary; stock/private-label versus custom route; target market; first-run budget; packaging preference.</w:t>
            </w:r>
          </w:p>
        </w:tc>
        <w:tc>
          <w:tcPr>
            <w:tcW w:type="dxa" w:w="3772"/>
            <w:shd w:fill="F5F8FC" w:val="clear"/>
            <w:tcBorders>
              <w:bottom w:val="single" w:sz="3" w:color="D7DEE8"/>
            </w:tcBorders>
            <w:tcMar>
              <w:top w:w="85" w:type="dxa"/>
              <w:start w:w="85" w:type="dxa"/>
              <w:bottom w:w="85" w:type="dxa"/>
              <w:end w:w="85" w:type="dxa"/>
            </w:tcMar>
          </w:tcPr>
          <w:p>
            <w:pPr>
              <w:keepLines/>
              <w:spacing w:before="0" w:after="0" w:line="238" w:lineRule="auto"/>
            </w:pPr>
            <w:r/>
            <w:r>
              <w:rPr>
                <w:rFonts w:ascii="Aptos" w:hAnsi="Aptos"/>
                <w:b w:val="0"/>
                <w:i w:val="0"/>
                <w:color w:val="1E2730"/>
                <w:sz w:val="15"/>
              </w:rPr>
              <w:t>Product concept; claims/ingredient notes; packaging visual; target price; route-to-market summary.</w:t>
            </w:r>
          </w:p>
        </w:tc>
      </w:tr>
      <w:tr>
        <w:trPr>
          <w:cantSplit/>
        </w:trPr>
        <w:tc>
          <w:tcPr>
            <w:tcW w:type="dxa" w:w="2376"/>
            <w:shd w:fill="FFFFFF" w:val="clear"/>
            <w:tcBorders>
              <w:bottom w:val="single" w:sz="3" w:color="D7DEE8"/>
            </w:tcBorders>
            <w:tcMar>
              <w:top w:w="85" w:type="dxa"/>
              <w:start w:w="85" w:type="dxa"/>
              <w:bottom w:w="85" w:type="dxa"/>
              <w:end w:w="85" w:type="dxa"/>
            </w:tcMar>
          </w:tcPr>
          <w:p>
            <w:pPr>
              <w:keepLines/>
              <w:spacing w:before="0" w:after="0" w:line="238" w:lineRule="auto"/>
            </w:pPr>
            <w:r/>
            <w:r>
              <w:rPr>
                <w:rFonts w:ascii="Aptos" w:hAnsi="Aptos"/>
                <w:b/>
                <w:i w:val="0"/>
                <w:color w:val="0B2D57"/>
                <w:sz w:val="15"/>
              </w:rPr>
              <w:t>3PL / fulfillment</w:t>
            </w:r>
          </w:p>
        </w:tc>
        <w:tc>
          <w:tcPr>
            <w:tcW w:type="dxa" w:w="4104"/>
            <w:shd w:fill="FFFFFF" w:val="clear"/>
            <w:tcBorders>
              <w:bottom w:val="single" w:sz="3" w:color="D7DEE8"/>
            </w:tcBorders>
            <w:tcMar>
              <w:top w:w="85" w:type="dxa"/>
              <w:start w:w="85" w:type="dxa"/>
              <w:bottom w:w="85" w:type="dxa"/>
              <w:end w:w="85" w:type="dxa"/>
            </w:tcMar>
          </w:tcPr>
          <w:p>
            <w:pPr>
              <w:keepLines/>
              <w:spacing w:before="0" w:after="0" w:line="238" w:lineRule="auto"/>
            </w:pPr>
            <w:r/>
            <w:r>
              <w:rPr>
                <w:rFonts w:ascii="Aptos" w:hAnsi="Aptos"/>
                <w:b w:val="0"/>
                <w:i w:val="0"/>
                <w:color w:val="1E2730"/>
                <w:sz w:val="15"/>
              </w:rPr>
              <w:t>SKU count; dimensions/weights; order volume; items per order; channels; ship zones; packaging; returns; special handling.</w:t>
            </w:r>
          </w:p>
        </w:tc>
        <w:tc>
          <w:tcPr>
            <w:tcW w:type="dxa" w:w="3772"/>
            <w:shd w:fill="FFFFFF" w:val="clear"/>
            <w:tcBorders>
              <w:bottom w:val="single" w:sz="3" w:color="D7DEE8"/>
            </w:tcBorders>
            <w:tcMar>
              <w:top w:w="85" w:type="dxa"/>
              <w:start w:w="85" w:type="dxa"/>
              <w:bottom w:w="85" w:type="dxa"/>
              <w:end w:w="85" w:type="dxa"/>
            </w:tcMar>
          </w:tcPr>
          <w:p>
            <w:pPr>
              <w:keepLines/>
              <w:spacing w:before="0" w:after="0" w:line="238" w:lineRule="auto"/>
            </w:pPr>
            <w:r/>
            <w:r>
              <w:rPr>
                <w:rFonts w:ascii="Aptos" w:hAnsi="Aptos"/>
                <w:b w:val="0"/>
                <w:i w:val="0"/>
                <w:color w:val="1E2730"/>
                <w:sz w:val="15"/>
              </w:rPr>
              <w:t>SKU master; order history; packaging photos; forecast; marketplace/retail requirements.</w:t>
            </w:r>
          </w:p>
        </w:tc>
      </w:tr>
      <w:tr>
        <w:trPr>
          <w:cantSplit/>
        </w:trPr>
        <w:tc>
          <w:tcPr>
            <w:tcW w:type="dxa" w:w="2376"/>
            <w:shd w:fill="F5F8FC" w:val="clear"/>
            <w:tcBorders>
              <w:bottom w:val="single" w:sz="3" w:color="D7DEE8"/>
            </w:tcBorders>
            <w:tcMar>
              <w:top w:w="85" w:type="dxa"/>
              <w:start w:w="85" w:type="dxa"/>
              <w:bottom w:w="85" w:type="dxa"/>
              <w:end w:w="85" w:type="dxa"/>
            </w:tcMar>
          </w:tcPr>
          <w:p>
            <w:pPr>
              <w:keepLines/>
              <w:spacing w:before="0" w:after="0" w:line="238" w:lineRule="auto"/>
            </w:pPr>
            <w:r/>
            <w:r>
              <w:rPr>
                <w:rFonts w:ascii="Aptos" w:hAnsi="Aptos"/>
                <w:b/>
                <w:i w:val="0"/>
                <w:color w:val="0B2D57"/>
                <w:sz w:val="15"/>
              </w:rPr>
              <w:t>Warehouse / co-warehouse</w:t>
            </w:r>
          </w:p>
        </w:tc>
        <w:tc>
          <w:tcPr>
            <w:tcW w:type="dxa" w:w="4104"/>
            <w:shd w:fill="F5F8FC" w:val="clear"/>
            <w:tcBorders>
              <w:bottom w:val="single" w:sz="3" w:color="D7DEE8"/>
            </w:tcBorders>
            <w:tcMar>
              <w:top w:w="85" w:type="dxa"/>
              <w:start w:w="85" w:type="dxa"/>
              <w:bottom w:w="85" w:type="dxa"/>
              <w:end w:w="85" w:type="dxa"/>
            </w:tcMar>
          </w:tcPr>
          <w:p>
            <w:pPr>
              <w:keepLines/>
              <w:spacing w:before="0" w:after="0" w:line="238" w:lineRule="auto"/>
            </w:pPr>
            <w:r/>
            <w:r>
              <w:rPr>
                <w:rFonts w:ascii="Aptos" w:hAnsi="Aptos"/>
                <w:b w:val="0"/>
                <w:i w:val="0"/>
                <w:color w:val="1E2730"/>
                <w:sz w:val="15"/>
              </w:rPr>
              <w:t>Pallet/carton count; inbound/outbound frequency; self-fulfillment workflow; access needs; equipment/temperature/security requirements.</w:t>
            </w:r>
          </w:p>
        </w:tc>
        <w:tc>
          <w:tcPr>
            <w:tcW w:type="dxa" w:w="3772"/>
            <w:shd w:fill="F5F8FC" w:val="clear"/>
            <w:tcBorders>
              <w:bottom w:val="single" w:sz="3" w:color="D7DEE8"/>
            </w:tcBorders>
            <w:tcMar>
              <w:top w:w="85" w:type="dxa"/>
              <w:start w:w="85" w:type="dxa"/>
              <w:bottom w:w="85" w:type="dxa"/>
              <w:end w:w="85" w:type="dxa"/>
            </w:tcMar>
          </w:tcPr>
          <w:p>
            <w:pPr>
              <w:keepLines/>
              <w:spacing w:before="0" w:after="0" w:line="238" w:lineRule="auto"/>
            </w:pPr>
            <w:r/>
            <w:r>
              <w:rPr>
                <w:rFonts w:ascii="Aptos" w:hAnsi="Aptos"/>
                <w:b w:val="0"/>
                <w:i w:val="0"/>
                <w:color w:val="1E2730"/>
                <w:sz w:val="15"/>
              </w:rPr>
              <w:t>Space layout sketch; receiving profile; labor plan; insurance details; expected duration.</w:t>
            </w:r>
          </w:p>
        </w:tc>
      </w:tr>
      <w:tr>
        <w:trPr>
          <w:cantSplit/>
        </w:trPr>
        <w:tc>
          <w:tcPr>
            <w:tcW w:type="dxa" w:w="2376"/>
            <w:shd w:fill="FFFFFF" w:val="clear"/>
            <w:tcBorders>
              <w:bottom w:val="single" w:sz="3" w:color="D7DEE8"/>
            </w:tcBorders>
            <w:tcMar>
              <w:top w:w="85" w:type="dxa"/>
              <w:start w:w="85" w:type="dxa"/>
              <w:bottom w:w="85" w:type="dxa"/>
              <w:end w:w="85" w:type="dxa"/>
            </w:tcMar>
          </w:tcPr>
          <w:p>
            <w:pPr>
              <w:keepLines/>
              <w:spacing w:before="0" w:after="0" w:line="238" w:lineRule="auto"/>
            </w:pPr>
            <w:r/>
            <w:r>
              <w:rPr>
                <w:rFonts w:ascii="Aptos" w:hAnsi="Aptos"/>
                <w:b/>
                <w:i w:val="0"/>
                <w:color w:val="0B2D57"/>
                <w:sz w:val="15"/>
              </w:rPr>
              <w:t>Packaging supplier</w:t>
            </w:r>
          </w:p>
        </w:tc>
        <w:tc>
          <w:tcPr>
            <w:tcW w:type="dxa" w:w="4104"/>
            <w:shd w:fill="FFFFFF" w:val="clear"/>
            <w:tcBorders>
              <w:bottom w:val="single" w:sz="3" w:color="D7DEE8"/>
            </w:tcBorders>
            <w:tcMar>
              <w:top w:w="85" w:type="dxa"/>
              <w:start w:w="85" w:type="dxa"/>
              <w:bottom w:w="85" w:type="dxa"/>
              <w:end w:w="85" w:type="dxa"/>
            </w:tcMar>
          </w:tcPr>
          <w:p>
            <w:pPr>
              <w:keepLines/>
              <w:spacing w:before="0" w:after="0" w:line="238" w:lineRule="auto"/>
            </w:pPr>
            <w:r/>
            <w:r>
              <w:rPr>
                <w:rFonts w:ascii="Aptos" w:hAnsi="Aptos"/>
                <w:b w:val="0"/>
                <w:i w:val="0"/>
                <w:color w:val="1E2730"/>
                <w:sz w:val="15"/>
              </w:rPr>
              <w:t>Product dimensions/weight; fragility; intended channel; target quantity; material/finish preference; delivery date; shipping location.</w:t>
            </w:r>
          </w:p>
        </w:tc>
        <w:tc>
          <w:tcPr>
            <w:tcW w:type="dxa" w:w="3772"/>
            <w:shd w:fill="FFFFFF" w:val="clear"/>
            <w:tcBorders>
              <w:bottom w:val="single" w:sz="3" w:color="D7DEE8"/>
            </w:tcBorders>
            <w:tcMar>
              <w:top w:w="85" w:type="dxa"/>
              <w:start w:w="85" w:type="dxa"/>
              <w:bottom w:w="85" w:type="dxa"/>
              <w:end w:w="85" w:type="dxa"/>
            </w:tcMar>
          </w:tcPr>
          <w:p>
            <w:pPr>
              <w:keepLines/>
              <w:spacing w:before="0" w:after="0" w:line="238" w:lineRule="auto"/>
            </w:pPr>
            <w:r/>
            <w:r>
              <w:rPr>
                <w:rFonts w:ascii="Aptos" w:hAnsi="Aptos"/>
                <w:b w:val="0"/>
                <w:i w:val="0"/>
                <w:color w:val="1E2730"/>
                <w:sz w:val="15"/>
              </w:rPr>
              <w:t>Dieline or rough size; artwork; product photos; target unit cost; packaging inspiration.</w:t>
            </w:r>
          </w:p>
        </w:tc>
      </w:tr>
      <w:tr>
        <w:trPr>
          <w:cantSplit/>
        </w:trPr>
        <w:tc>
          <w:tcPr>
            <w:tcW w:type="dxa" w:w="2376"/>
            <w:shd w:fill="F5F8FC" w:val="clear"/>
            <w:tcBorders>
              <w:bottom w:val="single" w:sz="3" w:color="D7DEE8"/>
            </w:tcBorders>
            <w:tcMar>
              <w:top w:w="85" w:type="dxa"/>
              <w:start w:w="85" w:type="dxa"/>
              <w:bottom w:w="85" w:type="dxa"/>
              <w:end w:w="85" w:type="dxa"/>
            </w:tcMar>
          </w:tcPr>
          <w:p>
            <w:pPr>
              <w:keepLines/>
              <w:spacing w:before="0" w:after="0" w:line="238" w:lineRule="auto"/>
            </w:pPr>
            <w:r/>
            <w:r>
              <w:rPr>
                <w:rFonts w:ascii="Aptos" w:hAnsi="Aptos"/>
                <w:b/>
                <w:i w:val="0"/>
                <w:color w:val="0B2D57"/>
                <w:sz w:val="15"/>
              </w:rPr>
              <w:t>Distributor / retail prep support</w:t>
            </w:r>
          </w:p>
        </w:tc>
        <w:tc>
          <w:tcPr>
            <w:tcW w:type="dxa" w:w="4104"/>
            <w:shd w:fill="F5F8FC" w:val="clear"/>
            <w:tcBorders>
              <w:bottom w:val="single" w:sz="3" w:color="D7DEE8"/>
            </w:tcBorders>
            <w:tcMar>
              <w:top w:w="85" w:type="dxa"/>
              <w:start w:w="85" w:type="dxa"/>
              <w:bottom w:w="85" w:type="dxa"/>
              <w:end w:w="85" w:type="dxa"/>
            </w:tcMar>
          </w:tcPr>
          <w:p>
            <w:pPr>
              <w:keepLines/>
              <w:spacing w:before="0" w:after="0" w:line="238" w:lineRule="auto"/>
            </w:pPr>
            <w:r/>
            <w:r>
              <w:rPr>
                <w:rFonts w:ascii="Aptos" w:hAnsi="Aptos"/>
                <w:b w:val="0"/>
                <w:i w:val="0"/>
                <w:color w:val="1E2730"/>
                <w:sz w:val="15"/>
              </w:rPr>
              <w:t>SKU/case/pallet specs; retailer requirements; forecast; ship-to locations; EDI/label/ASN needs; product documentation.</w:t>
            </w:r>
          </w:p>
        </w:tc>
        <w:tc>
          <w:tcPr>
            <w:tcW w:type="dxa" w:w="3772"/>
            <w:shd w:fill="F5F8FC" w:val="clear"/>
            <w:tcBorders>
              <w:bottom w:val="single" w:sz="3" w:color="D7DEE8"/>
            </w:tcBorders>
            <w:tcMar>
              <w:top w:w="85" w:type="dxa"/>
              <w:start w:w="85" w:type="dxa"/>
              <w:bottom w:w="85" w:type="dxa"/>
              <w:end w:w="85" w:type="dxa"/>
            </w:tcMar>
          </w:tcPr>
          <w:p>
            <w:pPr>
              <w:keepLines/>
              <w:spacing w:before="0" w:after="0" w:line="238" w:lineRule="auto"/>
            </w:pPr>
            <w:r/>
            <w:r>
              <w:rPr>
                <w:rFonts w:ascii="Aptos" w:hAnsi="Aptos"/>
                <w:b w:val="0"/>
                <w:i w:val="0"/>
                <w:color w:val="1E2730"/>
                <w:sz w:val="15"/>
              </w:rPr>
              <w:t>Product spec sheet; sell sheet; case/pallet data; retail PO assumptions; compliance requirements.</w:t>
            </w:r>
          </w:p>
        </w:tc>
      </w:tr>
    </w:tbl>
    <w:p>
      <w:pPr>
        <w:widowControl/>
        <w:spacing w:after="60"/>
      </w:pPr>
    </w:p>
    <w:tbl>
      <w:tblPr>
        <w:tblW w:type="auto" w:w="0"/>
        <w:jc w:val="center"/>
        <w:tblLayout w:type="fixed"/>
        <w:tblLook w:firstColumn="1" w:firstRow="1" w:lastColumn="0" w:lastRow="0" w:noHBand="0" w:noVBand="1" w:val="04A0"/>
      </w:tblPr>
      <w:tblGrid>
        <w:gridCol w:w="10252"/>
      </w:tblGrid>
      <w:tr>
        <w:tc>
          <w:tcPr>
            <w:tcW w:type="dxa" w:w="10252"/>
            <w:shd w:fill="FFF5E7" w:val="clear"/>
            <w:tcBorders>
              <w:top w:val="single" w:sz="10" w:color="C89B2C"/>
              <w:left w:val="single" w:sz="10" w:color="C89B2C"/>
              <w:bottom w:val="single" w:sz="10" w:color="C89B2C"/>
              <w:right w:val="single" w:sz="10" w:color="C89B2C"/>
            </w:tcBorders>
            <w:tcMar>
              <w:top w:w="110" w:type="dxa"/>
              <w:start w:w="130" w:type="dxa"/>
              <w:bottom w:w="110" w:type="dxa"/>
              <w:end w:w="130" w:type="dxa"/>
            </w:tcMar>
          </w:tcPr>
          <w:p>
            <w:pPr>
              <w:keepLines/>
              <w:spacing w:before="0" w:after="40"/>
            </w:pPr>
            <w:r/>
            <w:r>
              <w:rPr>
                <w:rFonts w:ascii="Aptos" w:hAnsi="Aptos"/>
                <w:b/>
                <w:i w:val="0"/>
                <w:color w:val="C89B2C"/>
                <w:sz w:val="16"/>
              </w:rPr>
              <w:t>THE FIRST-CALL QUESTIONS EVERY FOUNDER SHOULD RESOLVE</w:t>
            </w:r>
          </w:p>
          <w:p>
            <w:pPr>
              <w:keepLines/>
              <w:spacing w:before="0" w:after="0" w:line="247" w:lineRule="auto"/>
            </w:pPr>
            <w:r>
              <w:rPr>
                <w:rFonts w:ascii="Aptos" w:hAnsi="Aptos"/>
                <w:b w:val="0"/>
                <w:i w:val="0"/>
                <w:color w:val="1E2730"/>
                <w:sz w:val="17"/>
              </w:rPr>
              <w:t>What is the exact MOQ by SKU, component, color, case, or batch? What is the lead-time clock measured from? Who owns materials and freight? What is due when? What must the founder provide for a quote? How are quality, claims, inventory, re-orders, changes, delays, and escalation handled?</w:t>
            </w:r>
          </w:p>
        </w:tc>
      </w:tr>
    </w:tbl>
    <w:p>
      <w:pPr>
        <w:widowControl/>
        <w:spacing w:after="40"/>
      </w:pPr>
    </w:p>
    <w:p>
      <w:pPr>
        <w:widowControl/>
      </w:pPr>
      <w:r>
        <w:br w:type="page"/>
      </w:r>
    </w:p>
    <w:p>
      <w:pPr>
        <w:keepNext/>
        <w:widowControl/>
        <w:spacing w:before="0" w:after="60"/>
      </w:pPr>
      <w:r>
        <w:rPr>
          <w:rFonts w:ascii="Aptos" w:hAnsi="Aptos"/>
          <w:b/>
          <w:i w:val="0"/>
          <w:color w:val="3978D7"/>
          <w:sz w:val="16"/>
        </w:rPr>
        <w:t>11 | VENDOR COMPARISON + DECISION SCORECARD</w:t>
      </w:r>
    </w:p>
    <w:p>
      <w:pPr>
        <w:keepNext/>
        <w:widowControl/>
        <w:spacing w:before="0" w:after="80"/>
      </w:pPr>
      <w:r>
        <w:rPr>
          <w:rFonts w:ascii="Aptos Display" w:hAnsi="Aptos Display"/>
          <w:b/>
          <w:i w:val="0"/>
          <w:color w:val="071E41"/>
          <w:sz w:val="40"/>
        </w:rPr>
        <w:t>Make Assumptions Visible Before You Commit</w:t>
      </w:r>
    </w:p>
    <w:p>
      <w:pPr>
        <w:keepNext/>
        <w:widowControl/>
        <w:spacing w:before="0" w:after="200" w:line="252" w:lineRule="auto"/>
      </w:pPr>
      <w:r>
        <w:rPr>
          <w:rFonts w:ascii="Aptos" w:hAnsi="Aptos"/>
          <w:b w:val="0"/>
          <w:i w:val="0"/>
          <w:color w:val="4B5563"/>
          <w:sz w:val="17"/>
        </w:rPr>
        <w:t>Compare at least two credible options when the decision creates a material inventory, cash, quality, or channel commitment. Use this scorecard to compare total operating fit - not simply price per unit.</w:t>
      </w:r>
    </w:p>
    <w:tbl>
      <w:tblPr>
        <w:tblW w:type="auto" w:w="0"/>
        <w:jc w:val="center"/>
        <w:tblLayout w:type="fixed"/>
        <w:tblLook w:firstColumn="1" w:firstRow="1" w:lastColumn="0" w:lastRow="0" w:noHBand="0" w:noVBand="1" w:val="04A0"/>
      </w:tblPr>
      <w:tblGrid>
        <w:gridCol w:w="3417"/>
        <w:gridCol w:w="3417"/>
        <w:gridCol w:w="3417"/>
      </w:tblGrid>
      <w:tr>
        <w:trPr>
          <w:tblHeader w:val="true"/>
        </w:trPr>
        <w:tc>
          <w:tcPr>
            <w:tcW w:type="dxa" w:w="3528"/>
            <w:shd w:fill="071E41" w:val="clear"/>
            <w:tcMar>
              <w:top w:w="75" w:type="dxa"/>
              <w:start w:w="85" w:type="dxa"/>
              <w:bottom w:w="75" w:type="dxa"/>
              <w:end w:w="85" w:type="dxa"/>
            </w:tcMar>
          </w:tcPr>
          <w:p>
            <w:pPr>
              <w:spacing w:before="0" w:after="0"/>
            </w:pPr>
            <w:r/>
            <w:r>
              <w:rPr>
                <w:rFonts w:ascii="Aptos" w:hAnsi="Aptos"/>
                <w:b/>
                <w:i w:val="0"/>
                <w:color w:val="FFFFFF"/>
                <w:sz w:val="14"/>
              </w:rPr>
              <w:t>EVALUATION CATEGORY</w:t>
            </w:r>
          </w:p>
        </w:tc>
        <w:tc>
          <w:tcPr>
            <w:tcW w:type="dxa" w:w="1368"/>
            <w:shd w:fill="071E41" w:val="clear"/>
            <w:tcMar>
              <w:top w:w="75" w:type="dxa"/>
              <w:start w:w="85" w:type="dxa"/>
              <w:bottom w:w="75" w:type="dxa"/>
              <w:end w:w="85" w:type="dxa"/>
            </w:tcMar>
          </w:tcPr>
          <w:p>
            <w:pPr>
              <w:spacing w:before="0" w:after="0"/>
            </w:pPr>
            <w:r/>
            <w:r>
              <w:rPr>
                <w:rFonts w:ascii="Aptos" w:hAnsi="Aptos"/>
                <w:b/>
                <w:i w:val="0"/>
                <w:color w:val="FFFFFF"/>
                <w:sz w:val="14"/>
              </w:rPr>
              <w:t>SUGGESTED WEIGHT</w:t>
            </w:r>
          </w:p>
        </w:tc>
        <w:tc>
          <w:tcPr>
            <w:tcW w:type="dxa" w:w="5356"/>
            <w:shd w:fill="071E41" w:val="clear"/>
            <w:tcMar>
              <w:top w:w="75" w:type="dxa"/>
              <w:start w:w="85" w:type="dxa"/>
              <w:bottom w:w="75" w:type="dxa"/>
              <w:end w:w="85" w:type="dxa"/>
            </w:tcMar>
          </w:tcPr>
          <w:p>
            <w:pPr>
              <w:spacing w:before="0" w:after="0"/>
            </w:pPr>
            <w:r/>
            <w:r>
              <w:rPr>
                <w:rFonts w:ascii="Aptos" w:hAnsi="Aptos"/>
                <w:b/>
                <w:i w:val="0"/>
                <w:color w:val="FFFFFF"/>
                <w:sz w:val="14"/>
              </w:rPr>
              <w:t>WHAT TO SCORE / EVIDENCE TO CAPTURE</w:t>
            </w:r>
          </w:p>
        </w:tc>
      </w:tr>
      <w:tr>
        <w:trPr>
          <w:cantSplit/>
        </w:trPr>
        <w:tc>
          <w:tcPr>
            <w:tcW w:type="dxa" w:w="3528"/>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i w:val="0"/>
                <w:color w:val="0B2D57"/>
                <w:sz w:val="15"/>
              </w:rPr>
              <w:t>Capability + product fit</w:t>
            </w:r>
          </w:p>
        </w:tc>
        <w:tc>
          <w:tcPr>
            <w:tcW w:type="dxa" w:w="1368"/>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15%</w:t>
            </w:r>
          </w:p>
        </w:tc>
        <w:tc>
          <w:tcPr>
            <w:tcW w:type="dxa" w:w="5356"/>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Can the partner safely and consistently handle the actual formula, pack format, materials, storage, channel, retailer, and compliance needs?</w:t>
            </w:r>
          </w:p>
        </w:tc>
      </w:tr>
      <w:tr>
        <w:trPr>
          <w:cantSplit/>
        </w:trPr>
        <w:tc>
          <w:tcPr>
            <w:tcW w:type="dxa" w:w="3528"/>
            <w:shd w:fill="F5F8FC"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i w:val="0"/>
                <w:color w:val="0B2D57"/>
                <w:sz w:val="15"/>
              </w:rPr>
              <w:t>Commercial fit</w:t>
            </w:r>
          </w:p>
        </w:tc>
        <w:tc>
          <w:tcPr>
            <w:tcW w:type="dxa" w:w="1368"/>
            <w:shd w:fill="F5F8FC"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15%</w:t>
            </w:r>
          </w:p>
        </w:tc>
        <w:tc>
          <w:tcPr>
            <w:tcW w:type="dxa" w:w="5356"/>
            <w:shd w:fill="F5F8FC"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Total cash required, unit economics, price breaks, deposit, payment terms, credit route, working-capital pressure, and cost-to-serve.</w:t>
            </w:r>
          </w:p>
        </w:tc>
      </w:tr>
      <w:tr>
        <w:trPr>
          <w:cantSplit/>
        </w:trPr>
        <w:tc>
          <w:tcPr>
            <w:tcW w:type="dxa" w:w="3528"/>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i w:val="0"/>
                <w:color w:val="0B2D57"/>
                <w:sz w:val="15"/>
              </w:rPr>
              <w:t>MOQ + inventory exposure</w:t>
            </w:r>
          </w:p>
        </w:tc>
        <w:tc>
          <w:tcPr>
            <w:tcW w:type="dxa" w:w="1368"/>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10%</w:t>
            </w:r>
          </w:p>
        </w:tc>
        <w:tc>
          <w:tcPr>
            <w:tcW w:type="dxa" w:w="5356"/>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MOQ by SKU/component and the inventory exposure it creates. Does the quantity match genuine demand and cash capacity?</w:t>
            </w:r>
          </w:p>
        </w:tc>
      </w:tr>
      <w:tr>
        <w:trPr>
          <w:cantSplit/>
        </w:trPr>
        <w:tc>
          <w:tcPr>
            <w:tcW w:type="dxa" w:w="3528"/>
            <w:shd w:fill="F5F8FC"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i w:val="0"/>
                <w:color w:val="0B2D57"/>
                <w:sz w:val="15"/>
              </w:rPr>
              <w:t>Lead time + reliability</w:t>
            </w:r>
          </w:p>
        </w:tc>
        <w:tc>
          <w:tcPr>
            <w:tcW w:type="dxa" w:w="1368"/>
            <w:shd w:fill="F5F8FC"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10%</w:t>
            </w:r>
          </w:p>
        </w:tc>
        <w:tc>
          <w:tcPr>
            <w:tcW w:type="dxa" w:w="5356"/>
            <w:shd w:fill="F5F8FC"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Calendar availability, dependencies, critical path, queue risk, re-order timing, rush options, and evidenced reliability.</w:t>
            </w:r>
          </w:p>
        </w:tc>
      </w:tr>
      <w:tr>
        <w:trPr>
          <w:cantSplit/>
        </w:trPr>
        <w:tc>
          <w:tcPr>
            <w:tcW w:type="dxa" w:w="3528"/>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i w:val="0"/>
                <w:color w:val="0B2D57"/>
                <w:sz w:val="15"/>
              </w:rPr>
              <w:t>Quality + documentation</w:t>
            </w:r>
          </w:p>
        </w:tc>
        <w:tc>
          <w:tcPr>
            <w:tcW w:type="dxa" w:w="1368"/>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10%</w:t>
            </w:r>
          </w:p>
        </w:tc>
        <w:tc>
          <w:tcPr>
            <w:tcW w:type="dxa" w:w="5356"/>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QC, testing, specifications, lot/expiry control, release standards, traceability, certifications, recall/defect process, and documentation ownership.</w:t>
            </w:r>
          </w:p>
        </w:tc>
      </w:tr>
      <w:tr>
        <w:trPr>
          <w:cantSplit/>
        </w:trPr>
        <w:tc>
          <w:tcPr>
            <w:tcW w:type="dxa" w:w="3528"/>
            <w:shd w:fill="F5F8FC"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i w:val="0"/>
                <w:color w:val="0B2D57"/>
                <w:sz w:val="15"/>
              </w:rPr>
              <w:t>Channel + operational fit</w:t>
            </w:r>
          </w:p>
        </w:tc>
        <w:tc>
          <w:tcPr>
            <w:tcW w:type="dxa" w:w="1368"/>
            <w:shd w:fill="F5F8FC"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10%</w:t>
            </w:r>
          </w:p>
        </w:tc>
        <w:tc>
          <w:tcPr>
            <w:tcW w:type="dxa" w:w="5356"/>
            <w:shd w:fill="F5F8FC"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DTC, wholesale, marketplace, retailer, packaging, returns, EDI, carrier, storage, pallet/case, and service-level capability.</w:t>
            </w:r>
          </w:p>
        </w:tc>
      </w:tr>
      <w:tr>
        <w:trPr>
          <w:cantSplit/>
        </w:trPr>
        <w:tc>
          <w:tcPr>
            <w:tcW w:type="dxa" w:w="3528"/>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i w:val="0"/>
                <w:color w:val="0B2D57"/>
                <w:sz w:val="15"/>
              </w:rPr>
              <w:t>Communication + service</w:t>
            </w:r>
          </w:p>
        </w:tc>
        <w:tc>
          <w:tcPr>
            <w:tcW w:type="dxa" w:w="1368"/>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8%</w:t>
            </w:r>
          </w:p>
        </w:tc>
        <w:tc>
          <w:tcPr>
            <w:tcW w:type="dxa" w:w="5356"/>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Named contact/role, response times, project process, portal visibility, escalation, and clarity in quote/scope.</w:t>
            </w:r>
          </w:p>
        </w:tc>
      </w:tr>
      <w:tr>
        <w:trPr>
          <w:cantSplit/>
        </w:trPr>
        <w:tc>
          <w:tcPr>
            <w:tcW w:type="dxa" w:w="3528"/>
            <w:shd w:fill="F5F8FC"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i w:val="0"/>
                <w:color w:val="0B2D57"/>
                <w:sz w:val="15"/>
              </w:rPr>
              <w:t>Scale / contingency</w:t>
            </w:r>
          </w:p>
        </w:tc>
        <w:tc>
          <w:tcPr>
            <w:tcW w:type="dxa" w:w="1368"/>
            <w:shd w:fill="F5F8FC"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7%</w:t>
            </w:r>
          </w:p>
        </w:tc>
        <w:tc>
          <w:tcPr>
            <w:tcW w:type="dxa" w:w="5356"/>
            <w:shd w:fill="F5F8FC"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Capacity, re-order path, second-source options, peak planning, business continuity, and known handoff point.</w:t>
            </w:r>
          </w:p>
        </w:tc>
      </w:tr>
      <w:tr>
        <w:trPr>
          <w:cantSplit/>
        </w:trPr>
        <w:tc>
          <w:tcPr>
            <w:tcW w:type="dxa" w:w="3528"/>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i w:val="0"/>
                <w:color w:val="0B2D57"/>
                <w:sz w:val="15"/>
              </w:rPr>
              <w:t>Relationship / values</w:t>
            </w:r>
          </w:p>
        </w:tc>
        <w:tc>
          <w:tcPr>
            <w:tcW w:type="dxa" w:w="1368"/>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5%</w:t>
            </w:r>
          </w:p>
        </w:tc>
        <w:tc>
          <w:tcPr>
            <w:tcW w:type="dxa" w:w="5356"/>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Working style, transparency, founder education, relationship boundaries, referral/disclosure alignment, and comfort with escalation.</w:t>
            </w:r>
          </w:p>
        </w:tc>
      </w:tr>
    </w:tbl>
    <w:p>
      <w:pPr>
        <w:widowControl/>
        <w:spacing w:after="60"/>
      </w:pPr>
    </w:p>
    <w:tbl>
      <w:tblPr>
        <w:tblW w:type="auto" w:w="0"/>
        <w:jc w:val="center"/>
        <w:tblLayout w:type="fixed"/>
        <w:tblLook w:firstColumn="1" w:firstRow="1" w:lastColumn="0" w:lastRow="0" w:noHBand="0" w:noVBand="1" w:val="04A0"/>
      </w:tblPr>
      <w:tblGrid>
        <w:gridCol w:w="10252"/>
      </w:tblGrid>
      <w:tr>
        <w:tc>
          <w:tcPr>
            <w:tcW w:type="dxa" w:w="10252"/>
            <w:shd w:fill="EFF5FF" w:val="clear"/>
            <w:tcBorders>
              <w:top w:val="single" w:sz="10" w:color="3978D7"/>
              <w:left w:val="single" w:sz="10" w:color="3978D7"/>
              <w:bottom w:val="single" w:sz="10" w:color="3978D7"/>
              <w:right w:val="single" w:sz="10" w:color="3978D7"/>
            </w:tcBorders>
            <w:tcMar>
              <w:top w:w="110" w:type="dxa"/>
              <w:start w:w="130" w:type="dxa"/>
              <w:bottom w:w="110" w:type="dxa"/>
              <w:end w:w="130" w:type="dxa"/>
            </w:tcMar>
          </w:tcPr>
          <w:p>
            <w:pPr>
              <w:keepLines/>
              <w:spacing w:before="0" w:after="40"/>
            </w:pPr>
            <w:r/>
            <w:r>
              <w:rPr>
                <w:rFonts w:ascii="Aptos" w:hAnsi="Aptos"/>
                <w:b/>
                <w:i w:val="0"/>
                <w:color w:val="3978D7"/>
                <w:sz w:val="16"/>
              </w:rPr>
              <w:t>DECISION RULE</w:t>
            </w:r>
          </w:p>
          <w:p>
            <w:pPr>
              <w:keepLines/>
              <w:spacing w:before="0" w:after="0" w:line="247" w:lineRule="auto"/>
            </w:pPr>
            <w:r>
              <w:rPr>
                <w:rFonts w:ascii="Aptos" w:hAnsi="Aptos"/>
                <w:b w:val="0"/>
                <w:i w:val="0"/>
                <w:color w:val="1E2730"/>
                <w:sz w:val="17"/>
              </w:rPr>
              <w:t>Do not award the decision until the product/service scope, actual MOQ, fees, deposits, payment terms, quote validity, lead-time assumptions, quality acceptance, change order rules, delivery/fulfillment obligations, and re-order logic are in writing.</w:t>
            </w:r>
          </w:p>
        </w:tc>
      </w:tr>
    </w:tbl>
    <w:p>
      <w:pPr>
        <w:widowControl/>
        <w:spacing w:after="40"/>
      </w:pPr>
    </w:p>
    <w:p>
      <w:pPr>
        <w:widowControl/>
      </w:pPr>
      <w:r>
        <w:br w:type="page"/>
      </w:r>
    </w:p>
    <w:p>
      <w:pPr>
        <w:keepNext/>
        <w:widowControl/>
        <w:spacing w:before="0" w:after="60"/>
      </w:pPr>
      <w:r>
        <w:rPr>
          <w:rFonts w:ascii="Aptos" w:hAnsi="Aptos"/>
          <w:b/>
          <w:i w:val="0"/>
          <w:color w:val="3978D7"/>
          <w:sz w:val="16"/>
        </w:rPr>
        <w:t>12 | COMMERCIAL TERMS, CREDIT + CASH-FLOW CHECKLIST</w:t>
      </w:r>
    </w:p>
    <w:p>
      <w:pPr>
        <w:keepNext/>
        <w:widowControl/>
        <w:spacing w:before="0" w:after="80"/>
      </w:pPr>
      <w:r>
        <w:rPr>
          <w:rFonts w:ascii="Aptos Display" w:hAnsi="Aptos Display"/>
          <w:b/>
          <w:i w:val="0"/>
          <w:color w:val="071E41"/>
          <w:sz w:val="40"/>
        </w:rPr>
        <w:t>Know the Cash Requirement Before the First PO</w:t>
      </w:r>
    </w:p>
    <w:p>
      <w:pPr>
        <w:keepNext/>
        <w:widowControl/>
        <w:spacing w:before="0" w:after="200" w:line="252" w:lineRule="auto"/>
      </w:pPr>
      <w:r>
        <w:rPr>
          <w:rFonts w:ascii="Aptos" w:hAnsi="Aptos"/>
          <w:b w:val="0"/>
          <w:i w:val="0"/>
          <w:color w:val="4B5563"/>
          <w:sz w:val="17"/>
        </w:rPr>
        <w:t>A low unit cost can still be a poor decision when the supplier requires too much inventory, a long cash cycle, unplanned set-up, expensive freight, hidden storage, or inflexible re-order commitments.</w:t>
      </w:r>
    </w:p>
    <w:tbl>
      <w:tblPr>
        <w:tblW w:type="auto" w:w="0"/>
        <w:jc w:val="center"/>
        <w:tblLayout w:type="fixed"/>
        <w:tblLook w:firstColumn="1" w:firstRow="1" w:lastColumn="0" w:lastRow="0" w:noHBand="0" w:noVBand="1" w:val="04A0"/>
      </w:tblPr>
      <w:tblGrid>
        <w:gridCol w:w="3417"/>
        <w:gridCol w:w="3417"/>
        <w:gridCol w:w="3417"/>
      </w:tblGrid>
      <w:tr>
        <w:trPr>
          <w:tblHeader w:val="true"/>
        </w:trPr>
        <w:tc>
          <w:tcPr>
            <w:tcW w:type="dxa" w:w="2232"/>
            <w:shd w:fill="071E41" w:val="clear"/>
            <w:tcMar>
              <w:top w:w="75" w:type="dxa"/>
              <w:start w:w="85" w:type="dxa"/>
              <w:bottom w:w="75" w:type="dxa"/>
              <w:end w:w="85" w:type="dxa"/>
            </w:tcMar>
          </w:tcPr>
          <w:p>
            <w:pPr>
              <w:spacing w:before="0" w:after="0"/>
            </w:pPr>
            <w:r/>
            <w:r>
              <w:rPr>
                <w:rFonts w:ascii="Aptos" w:hAnsi="Aptos"/>
                <w:b/>
                <w:i w:val="0"/>
                <w:color w:val="FFFFFF"/>
                <w:sz w:val="14"/>
              </w:rPr>
              <w:t>COST / TERM AREA</w:t>
            </w:r>
          </w:p>
        </w:tc>
        <w:tc>
          <w:tcPr>
            <w:tcW w:type="dxa" w:w="4536"/>
            <w:shd w:fill="071E41" w:val="clear"/>
            <w:tcMar>
              <w:top w:w="75" w:type="dxa"/>
              <w:start w:w="85" w:type="dxa"/>
              <w:bottom w:w="75" w:type="dxa"/>
              <w:end w:w="85" w:type="dxa"/>
            </w:tcMar>
          </w:tcPr>
          <w:p>
            <w:pPr>
              <w:spacing w:before="0" w:after="0"/>
            </w:pPr>
            <w:r/>
            <w:r>
              <w:rPr>
                <w:rFonts w:ascii="Aptos" w:hAnsi="Aptos"/>
                <w:b/>
                <w:i w:val="0"/>
                <w:color w:val="FFFFFF"/>
                <w:sz w:val="14"/>
              </w:rPr>
              <w:t>WHAT TO ASK</w:t>
            </w:r>
          </w:p>
        </w:tc>
        <w:tc>
          <w:tcPr>
            <w:tcW w:type="dxa" w:w="3484"/>
            <w:shd w:fill="071E41" w:val="clear"/>
            <w:tcMar>
              <w:top w:w="75" w:type="dxa"/>
              <w:start w:w="85" w:type="dxa"/>
              <w:bottom w:w="75" w:type="dxa"/>
              <w:end w:w="85" w:type="dxa"/>
            </w:tcMar>
          </w:tcPr>
          <w:p>
            <w:pPr>
              <w:spacing w:before="0" w:after="0"/>
            </w:pPr>
            <w:r/>
            <w:r>
              <w:rPr>
                <w:rFonts w:ascii="Aptos" w:hAnsi="Aptos"/>
                <w:b/>
                <w:i w:val="0"/>
                <w:color w:val="FFFFFF"/>
                <w:sz w:val="14"/>
              </w:rPr>
              <w:t>WHY IT MATTERS</w:t>
            </w:r>
          </w:p>
        </w:tc>
      </w:tr>
      <w:tr>
        <w:trPr>
          <w:cantSplit/>
        </w:trPr>
        <w:tc>
          <w:tcPr>
            <w:tcW w:type="dxa" w:w="2232"/>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i w:val="0"/>
                <w:color w:val="0B2D57"/>
                <w:sz w:val="15"/>
              </w:rPr>
              <w:t>Deposit + balance</w:t>
            </w:r>
          </w:p>
        </w:tc>
        <w:tc>
          <w:tcPr>
            <w:tcW w:type="dxa" w:w="4536"/>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What percent is due at signed quote, sample approval, production, shipment, or delivery? Is any deposit refundable?</w:t>
            </w:r>
          </w:p>
        </w:tc>
        <w:tc>
          <w:tcPr>
            <w:tcW w:type="dxa" w:w="3484"/>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Defines actual cash timeline and whether the launch can be funded without starving marketing or operations.</w:t>
            </w:r>
          </w:p>
        </w:tc>
      </w:tr>
      <w:tr>
        <w:trPr>
          <w:cantSplit/>
        </w:trPr>
        <w:tc>
          <w:tcPr>
            <w:tcW w:type="dxa" w:w="2232"/>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i w:val="0"/>
                <w:color w:val="0B2D57"/>
                <w:sz w:val="15"/>
              </w:rPr>
              <w:t>Credit application</w:t>
            </w:r>
          </w:p>
        </w:tc>
        <w:tc>
          <w:tcPr>
            <w:tcW w:type="dxa" w:w="4536"/>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Is trade credit available? At what revenue/age/financial threshold? What information or personal guarantee is required?</w:t>
            </w:r>
          </w:p>
        </w:tc>
        <w:tc>
          <w:tcPr>
            <w:tcW w:type="dxa" w:w="3484"/>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Early-stage brands often assume Net terms before they have enough credit history to qualify.</w:t>
            </w:r>
          </w:p>
        </w:tc>
      </w:tr>
      <w:tr>
        <w:trPr>
          <w:cantSplit/>
        </w:trPr>
        <w:tc>
          <w:tcPr>
            <w:tcW w:type="dxa" w:w="2232"/>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i w:val="0"/>
                <w:color w:val="0B2D57"/>
                <w:sz w:val="15"/>
              </w:rPr>
              <w:t>MOQ + price breaks</w:t>
            </w:r>
          </w:p>
        </w:tc>
        <w:tc>
          <w:tcPr>
            <w:tcW w:type="dxa" w:w="4536"/>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Is MOQ per SKU, color, packaging, case, pallet, formula, or component? How do price breaks work?</w:t>
            </w:r>
          </w:p>
        </w:tc>
        <w:tc>
          <w:tcPr>
            <w:tcW w:type="dxa" w:w="3484"/>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A lower unit cost at a higher volume can create materially more inventory and cash risk.</w:t>
            </w:r>
          </w:p>
        </w:tc>
      </w:tr>
      <w:tr>
        <w:trPr>
          <w:cantSplit/>
        </w:trPr>
        <w:tc>
          <w:tcPr>
            <w:tcW w:type="dxa" w:w="2232"/>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i w:val="0"/>
                <w:color w:val="0B2D57"/>
                <w:sz w:val="15"/>
              </w:rPr>
              <w:t>Materials + freight</w:t>
            </w:r>
          </w:p>
        </w:tc>
        <w:tc>
          <w:tcPr>
            <w:tcW w:type="dxa" w:w="4536"/>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Who buys ingredients, bottles, labels, cartons, cases, pallets, shipping materials, freight, and customs? Are prices fixed?</w:t>
            </w:r>
          </w:p>
        </w:tc>
        <w:tc>
          <w:tcPr>
            <w:tcW w:type="dxa" w:w="3484"/>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Avoids a quote that excludes the largest cash or risk elements.</w:t>
            </w:r>
          </w:p>
        </w:tc>
      </w:tr>
      <w:tr>
        <w:trPr>
          <w:cantSplit/>
        </w:trPr>
        <w:tc>
          <w:tcPr>
            <w:tcW w:type="dxa" w:w="2232"/>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i w:val="0"/>
                <w:color w:val="0B2D57"/>
                <w:sz w:val="15"/>
              </w:rPr>
              <w:t>Storage + carry cost</w:t>
            </w:r>
          </w:p>
        </w:tc>
        <w:tc>
          <w:tcPr>
            <w:tcW w:type="dxa" w:w="4536"/>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What does it cost to store raw materials, packaging, finished goods, returns, slow inventory, or retailer rejects?</w:t>
            </w:r>
          </w:p>
        </w:tc>
        <w:tc>
          <w:tcPr>
            <w:tcW w:type="dxa" w:w="3484"/>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Turns an “affordable” relationship into a predictable total cost.</w:t>
            </w:r>
          </w:p>
        </w:tc>
      </w:tr>
      <w:tr>
        <w:trPr>
          <w:cantSplit/>
        </w:trPr>
        <w:tc>
          <w:tcPr>
            <w:tcW w:type="dxa" w:w="2232"/>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i w:val="0"/>
                <w:color w:val="0B2D57"/>
                <w:sz w:val="15"/>
              </w:rPr>
              <w:t>Change order</w:t>
            </w:r>
          </w:p>
        </w:tc>
        <w:tc>
          <w:tcPr>
            <w:tcW w:type="dxa" w:w="4536"/>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What happens if formula, label, artwork, timing, volume, or delivery address changes?</w:t>
            </w:r>
          </w:p>
        </w:tc>
        <w:tc>
          <w:tcPr>
            <w:tcW w:type="dxa" w:w="3484"/>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Makes scope creep and delay risk visible before the founder has leverage.</w:t>
            </w:r>
          </w:p>
        </w:tc>
      </w:tr>
      <w:tr>
        <w:trPr>
          <w:cantSplit/>
        </w:trPr>
        <w:tc>
          <w:tcPr>
            <w:tcW w:type="dxa" w:w="2232"/>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i w:val="0"/>
                <w:color w:val="0B2D57"/>
                <w:sz w:val="15"/>
              </w:rPr>
              <w:t>Quality / rework</w:t>
            </w:r>
          </w:p>
        </w:tc>
        <w:tc>
          <w:tcPr>
            <w:tcW w:type="dxa" w:w="4536"/>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What is the acceptance standard? Who pays for defects, rework, destruction, recall, damage, or shipping claims?</w:t>
            </w:r>
          </w:p>
        </w:tc>
        <w:tc>
          <w:tcPr>
            <w:tcW w:type="dxa" w:w="3484"/>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Quality costs are frequently invisible in early sales conversations.</w:t>
            </w:r>
          </w:p>
        </w:tc>
      </w:tr>
      <w:tr>
        <w:trPr>
          <w:cantSplit/>
        </w:trPr>
        <w:tc>
          <w:tcPr>
            <w:tcW w:type="dxa" w:w="2232"/>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i w:val="0"/>
                <w:color w:val="0B2D57"/>
                <w:sz w:val="15"/>
              </w:rPr>
              <w:t>Cancellation / exit</w:t>
            </w:r>
          </w:p>
        </w:tc>
        <w:tc>
          <w:tcPr>
            <w:tcW w:type="dxa" w:w="4536"/>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What happens if the forecast changes, a buyer delays, a project is paused, inventory is abandoned, or the relationship ends?</w:t>
            </w:r>
          </w:p>
        </w:tc>
        <w:tc>
          <w:tcPr>
            <w:tcW w:type="dxa" w:w="3484"/>
            <w:shd w:fill="F5F8FC"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Shows the real downside of fixed commitments and orphaned materials.</w:t>
            </w:r>
          </w:p>
        </w:tc>
      </w:tr>
      <w:tr>
        <w:trPr>
          <w:cantSplit/>
        </w:trPr>
        <w:tc>
          <w:tcPr>
            <w:tcW w:type="dxa" w:w="2232"/>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i w:val="0"/>
                <w:color w:val="0B2D57"/>
                <w:sz w:val="15"/>
              </w:rPr>
              <w:t>Re-order + capacity</w:t>
            </w:r>
          </w:p>
        </w:tc>
        <w:tc>
          <w:tcPr>
            <w:tcW w:type="dxa" w:w="4536"/>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How much notice is required for the next run? Can capacity be reserved? What creates a rush fee?</w:t>
            </w:r>
          </w:p>
        </w:tc>
        <w:tc>
          <w:tcPr>
            <w:tcW w:type="dxa" w:w="3484"/>
            <w:shd w:fill="FFFFFF" w:val="clear"/>
            <w:tcBorders>
              <w:bottom w:val="single" w:sz="3" w:color="D7DEE8"/>
            </w:tcBorders>
            <w:tcMar>
              <w:top w:w="80" w:type="dxa"/>
              <w:start w:w="85" w:type="dxa"/>
              <w:bottom w:w="80" w:type="dxa"/>
              <w:end w:w="85" w:type="dxa"/>
            </w:tcMar>
          </w:tcPr>
          <w:p>
            <w:pPr>
              <w:keepLines/>
              <w:spacing w:before="0" w:after="0" w:line="235" w:lineRule="auto"/>
            </w:pPr>
            <w:r/>
            <w:r>
              <w:rPr>
                <w:rFonts w:ascii="Aptos" w:hAnsi="Aptos"/>
                <w:b w:val="0"/>
                <w:i w:val="0"/>
                <w:color w:val="1E2730"/>
                <w:sz w:val="15"/>
              </w:rPr>
              <w:t>Protects launch continuity and reveals whether the partner can support the next stage.</w:t>
            </w:r>
          </w:p>
        </w:tc>
      </w:tr>
    </w:tbl>
    <w:p>
      <w:pPr>
        <w:widowControl/>
        <w:spacing w:after="60"/>
      </w:pPr>
    </w:p>
    <w:tbl>
      <w:tblPr>
        <w:tblW w:type="auto" w:w="0"/>
        <w:jc w:val="center"/>
        <w:tblLayout w:type="fixed"/>
        <w:tblLook w:firstColumn="1" w:firstRow="1" w:lastColumn="0" w:lastRow="0" w:noHBand="0" w:noVBand="1" w:val="04A0"/>
      </w:tblPr>
      <w:tblGrid>
        <w:gridCol w:w="10252"/>
      </w:tblGrid>
      <w:tr>
        <w:tc>
          <w:tcPr>
            <w:tcW w:type="dxa" w:w="10252"/>
            <w:shd w:fill="FFF5E7" w:val="clear"/>
            <w:tcBorders>
              <w:top w:val="single" w:sz="10" w:color="C89B2C"/>
              <w:left w:val="single" w:sz="10" w:color="C89B2C"/>
              <w:bottom w:val="single" w:sz="10" w:color="C89B2C"/>
              <w:right w:val="single" w:sz="10" w:color="C89B2C"/>
            </w:tcBorders>
            <w:tcMar>
              <w:top w:w="110" w:type="dxa"/>
              <w:start w:w="130" w:type="dxa"/>
              <w:bottom w:w="110" w:type="dxa"/>
              <w:end w:w="130" w:type="dxa"/>
            </w:tcMar>
          </w:tcPr>
          <w:p>
            <w:pPr>
              <w:keepLines/>
              <w:spacing w:before="0" w:after="40"/>
            </w:pPr>
            <w:r/>
            <w:r>
              <w:rPr>
                <w:rFonts w:ascii="Aptos" w:hAnsi="Aptos"/>
                <w:b/>
                <w:i w:val="0"/>
                <w:color w:val="C89B2C"/>
                <w:sz w:val="16"/>
              </w:rPr>
              <w:t>FOUNDER CASH RULE</w:t>
            </w:r>
          </w:p>
          <w:p>
            <w:pPr>
              <w:keepLines/>
              <w:spacing w:before="0" w:after="0" w:line="247" w:lineRule="auto"/>
            </w:pPr>
            <w:r>
              <w:rPr>
                <w:rFonts w:ascii="Aptos" w:hAnsi="Aptos"/>
                <w:b w:val="0"/>
                <w:i w:val="0"/>
                <w:color w:val="1E2730"/>
                <w:sz w:val="17"/>
              </w:rPr>
              <w:t>Never fund an entire first run from an optimistic sales forecast. Maintain cash for samples, freight, launch marketing, returns, defects, re-orders, retailer deductions, packaging, and operating surprises. Pair a major first PO with a basic forecast and a working-capital conversation.</w:t>
            </w:r>
          </w:p>
        </w:tc>
      </w:tr>
    </w:tbl>
    <w:p>
      <w:pPr>
        <w:widowControl/>
        <w:spacing w:after="40"/>
      </w:pPr>
    </w:p>
    <w:p>
      <w:pPr>
        <w:widowControl/>
      </w:pPr>
      <w:r>
        <w:br w:type="page"/>
      </w:r>
    </w:p>
    <w:p>
      <w:pPr>
        <w:keepNext/>
        <w:widowControl/>
        <w:spacing w:before="0" w:after="60"/>
      </w:pPr>
      <w:r>
        <w:rPr>
          <w:rFonts w:ascii="Aptos" w:hAnsi="Aptos"/>
          <w:b/>
          <w:i w:val="0"/>
          <w:color w:val="3978D7"/>
          <w:sz w:val="16"/>
        </w:rPr>
        <w:t>13 | OUTREACH + DISCOVERY SCRIPTS</w:t>
      </w:r>
    </w:p>
    <w:p>
      <w:pPr>
        <w:keepNext/>
        <w:widowControl/>
        <w:spacing w:before="0" w:after="80"/>
      </w:pPr>
      <w:r>
        <w:rPr>
          <w:rFonts w:ascii="Aptos Display" w:hAnsi="Aptos Display"/>
          <w:b/>
          <w:i w:val="0"/>
          <w:color w:val="071E41"/>
          <w:sz w:val="40"/>
        </w:rPr>
        <w:t>Open the Right Conversation</w:t>
      </w:r>
    </w:p>
    <w:p>
      <w:pPr>
        <w:keepNext/>
        <w:widowControl/>
        <w:spacing w:before="0" w:after="200" w:line="252" w:lineRule="auto"/>
      </w:pPr>
      <w:r>
        <w:rPr>
          <w:rFonts w:ascii="Aptos" w:hAnsi="Aptos"/>
          <w:b w:val="0"/>
          <w:i w:val="0"/>
          <w:color w:val="4B5563"/>
          <w:sz w:val="17"/>
        </w:rPr>
        <w:t>Use concise, credible outreach. The objective is to understand how the partner works and determine whether a founder is a real fit - not to demand a full proposal without the data required to scope a project.</w:t>
      </w:r>
    </w:p>
    <w:tbl>
      <w:tblPr>
        <w:tblW w:type="auto" w:w="0"/>
        <w:jc w:val="center"/>
        <w:tblLayout w:type="fixed"/>
        <w:tblLook w:firstColumn="1" w:firstRow="1" w:lastColumn="0" w:lastRow="0" w:noHBand="0" w:noVBand="1" w:val="04A0"/>
      </w:tblPr>
      <w:tblGrid>
        <w:gridCol w:w="10252"/>
      </w:tblGrid>
      <w:tr>
        <w:tc>
          <w:tcPr>
            <w:tcW w:type="dxa" w:w="10252"/>
            <w:shd w:fill="EFF5FF" w:val="clear"/>
            <w:tcBorders>
              <w:top w:val="single" w:sz="10" w:color="3978D7"/>
              <w:left w:val="single" w:sz="10" w:color="3978D7"/>
              <w:bottom w:val="single" w:sz="10" w:color="3978D7"/>
              <w:right w:val="single" w:sz="10" w:color="3978D7"/>
            </w:tcBorders>
            <w:tcMar>
              <w:top w:w="110" w:type="dxa"/>
              <w:start w:w="130" w:type="dxa"/>
              <w:bottom w:w="110" w:type="dxa"/>
              <w:end w:w="130" w:type="dxa"/>
            </w:tcMar>
          </w:tcPr>
          <w:p>
            <w:pPr>
              <w:keepLines/>
              <w:spacing w:before="0" w:after="40"/>
            </w:pPr>
            <w:r/>
            <w:r>
              <w:rPr>
                <w:rFonts w:ascii="Aptos" w:hAnsi="Aptos"/>
                <w:b/>
                <w:i w:val="0"/>
                <w:color w:val="3978D7"/>
                <w:sz w:val="16"/>
              </w:rPr>
              <w:t>VGP / BRAND BLUEPRINT PARTNER INTRODUCTION</w:t>
            </w:r>
          </w:p>
          <w:p>
            <w:pPr>
              <w:keepLines/>
              <w:spacing w:before="0" w:after="0" w:line="247" w:lineRule="auto"/>
            </w:pPr>
            <w:r>
              <w:rPr>
                <w:rFonts w:ascii="Aptos" w:hAnsi="Aptos"/>
                <w:b w:val="0"/>
                <w:i w:val="0"/>
                <w:color w:val="1E2730"/>
                <w:sz w:val="17"/>
              </w:rPr>
              <w:t>Use this when Dana or an authorized VGP representative is opening a relationship with a prospective referral or operating-resource partner. It keeps the conversation focused on best-fit founder profiles, commercial reality, and how a meaningful referral should work.</w:t>
            </w:r>
          </w:p>
        </w:tc>
      </w:tr>
    </w:tbl>
    <w:p>
      <w:pPr>
        <w:widowControl/>
        <w:spacing w:after="40"/>
      </w:pPr>
    </w:p>
    <w:tbl>
      <w:tblPr>
        <w:tblW w:type="auto" w:w="0"/>
        <w:jc w:val="center"/>
        <w:tblLayout w:type="fixed"/>
        <w:tblLook w:firstColumn="1" w:firstRow="1" w:lastColumn="0" w:lastRow="0" w:noHBand="0" w:noVBand="1" w:val="04A0"/>
      </w:tblPr>
      <w:tblGrid>
        <w:gridCol w:w="10252"/>
      </w:tblGrid>
      <w:tr>
        <w:tc>
          <w:tcPr>
            <w:tcW w:type="dxa" w:w="10252"/>
            <w:shd w:fill="F5F8FC" w:val="clear"/>
            <w:tcBorders>
              <w:top w:val="single" w:sz="7" w:color="3978D7"/>
              <w:left w:val="single" w:sz="7" w:color="3978D7"/>
              <w:bottom w:val="single" w:sz="7" w:color="3978D7"/>
              <w:right w:val="single" w:sz="7" w:color="3978D7"/>
            </w:tcBorders>
            <w:tcMar>
              <w:top w:w="120" w:type="dxa"/>
              <w:start w:w="135" w:type="dxa"/>
              <w:bottom w:w="120" w:type="dxa"/>
              <w:end w:w="135" w:type="dxa"/>
            </w:tcMar>
          </w:tcPr>
          <w:p>
            <w:pPr>
              <w:keepLines/>
              <w:spacing w:before="0" w:after="80"/>
            </w:pPr>
            <w:r/>
            <w:r>
              <w:rPr>
                <w:rFonts w:ascii="Aptos" w:hAnsi="Aptos"/>
                <w:b/>
                <w:i w:val="0"/>
                <w:color w:val="071E41"/>
                <w:sz w:val="16"/>
              </w:rPr>
              <w:t>SUBJECT: Introduction from Value Growth Partners | Operating Partner Network Exploration</w:t>
            </w:r>
          </w:p>
          <w:p>
            <w:pPr>
              <w:keepLines/>
              <w:spacing w:before="0" w:after="80" w:line="245" w:lineRule="auto"/>
            </w:pPr>
            <w:r>
              <w:rPr>
                <w:rFonts w:ascii="Aptos" w:hAnsi="Aptos"/>
                <w:b w:val="0"/>
                <w:i w:val="0"/>
                <w:color w:val="1E2730"/>
                <w:sz w:val="16"/>
              </w:rPr>
              <w:t>Hello [Name],</w:t>
            </w:r>
          </w:p>
          <w:p>
            <w:pPr>
              <w:keepLines/>
              <w:spacing w:before="0" w:after="80" w:line="245" w:lineRule="auto"/>
            </w:pPr>
            <w:r>
              <w:rPr>
                <w:rFonts w:ascii="Aptos" w:hAnsi="Aptos"/>
                <w:b w:val="0"/>
                <w:i w:val="0"/>
                <w:color w:val="1E2730"/>
                <w:sz w:val="16"/>
              </w:rPr>
              <w:t>My name is Dana Ammons, Founder and Principal Strategist of Value Growth Partners and The Brand Blueprint Ecosystem. Through Brand Blueprint, we support founder-led consumer brands with curated resources, market signal, and access. Through VGP, we help founders build the strategy, systems, workflows, partnerships, and operating infrastructure needed to move from opportunity to execution.</w:t>
            </w:r>
          </w:p>
          <w:p>
            <w:pPr>
              <w:keepLines/>
              <w:spacing w:before="0" w:after="80" w:line="245" w:lineRule="auto"/>
            </w:pPr>
            <w:r>
              <w:rPr>
                <w:rFonts w:ascii="Aptos" w:hAnsi="Aptos"/>
                <w:b w:val="0"/>
                <w:i w:val="0"/>
                <w:color w:val="1E2730"/>
                <w:sz w:val="16"/>
              </w:rPr>
              <w:t>I am expanding a curated Operations Sourcing resource pathway for Founder Network members and VGP advisory clients. [Company] appears to have capabilities that may be relevant to founders working through [specific need/category]. Before making any referrals, I would like to understand your best-fit customer profile, current capabilities, MOQ or minimum engagement levels, lead-time ranges, commercial terms, onboarding process, credit or payment expectations, and the information a founder must have prepared to be a serious fit.</w:t>
            </w:r>
          </w:p>
          <w:p>
            <w:pPr>
              <w:keepLines/>
              <w:spacing w:before="0" w:after="80" w:line="245" w:lineRule="auto"/>
            </w:pPr>
            <w:r>
              <w:rPr>
                <w:rFonts w:ascii="Aptos" w:hAnsi="Aptos"/>
                <w:b w:val="0"/>
                <w:i w:val="0"/>
                <w:color w:val="1E2730"/>
                <w:sz w:val="16"/>
              </w:rPr>
              <w:t>Would you be open to a 20-30 minute introductory conversation? My goal is not to promise business today. It is to understand where your team creates the strongest founder outcomes and whether there is an appropriate way for us to stay connected.</w:t>
            </w:r>
          </w:p>
          <w:p>
            <w:pPr>
              <w:keepLines/>
              <w:spacing w:before="0" w:after="80" w:line="245" w:lineRule="auto"/>
            </w:pPr>
            <w:r>
              <w:rPr>
                <w:rFonts w:ascii="Aptos" w:hAnsi="Aptos"/>
                <w:b w:val="0"/>
                <w:i w:val="0"/>
                <w:color w:val="1E2730"/>
                <w:sz w:val="16"/>
              </w:rPr>
              <w:t>Thank you,</w:t>
              <w:br/>
              <w:t>Dana Ammons</w:t>
              <w:br/>
              <w:t>Founder &amp; Principal Strategist</w:t>
              <w:br/>
              <w:t>Value Growth Partners | The Brand Blueprint Ecosystem</w:t>
              <w:br/>
              <w:t>www.valuegrowthpartners.com</w:t>
            </w:r>
          </w:p>
        </w:tc>
      </w:tr>
    </w:tbl>
    <w:p>
      <w:pPr>
        <w:widowControl/>
        <w:spacing w:after="60"/>
      </w:pPr>
    </w:p>
    <w:p>
      <w:pPr>
        <w:widowControl/>
      </w:pPr>
      <w:r>
        <w:br w:type="page"/>
      </w:r>
    </w:p>
    <w:p>
      <w:pPr>
        <w:keepNext/>
        <w:widowControl/>
        <w:spacing w:before="0" w:after="60"/>
      </w:pPr>
      <w:r>
        <w:rPr>
          <w:rFonts w:ascii="Aptos" w:hAnsi="Aptos"/>
          <w:b/>
          <w:i w:val="0"/>
          <w:color w:val="3978D7"/>
          <w:sz w:val="16"/>
        </w:rPr>
        <w:t>FOUNDER-TO-PARTNER PROJECT INQUIRY</w:t>
      </w:r>
    </w:p>
    <w:p>
      <w:pPr>
        <w:keepNext/>
        <w:widowControl/>
        <w:spacing w:before="0" w:after="80"/>
      </w:pPr>
      <w:r>
        <w:rPr>
          <w:rFonts w:ascii="Aptos Display" w:hAnsi="Aptos Display"/>
          <w:b/>
          <w:i w:val="0"/>
          <w:color w:val="071E41"/>
          <w:sz w:val="40"/>
        </w:rPr>
        <w:t>Lead With a Clear Project Brief</w:t>
      </w:r>
    </w:p>
    <w:p>
      <w:pPr>
        <w:keepNext/>
        <w:widowControl/>
        <w:spacing w:before="0" w:after="200" w:line="252" w:lineRule="auto"/>
      </w:pPr>
      <w:r>
        <w:rPr>
          <w:rFonts w:ascii="Aptos" w:hAnsi="Aptos"/>
          <w:b w:val="0"/>
          <w:i w:val="0"/>
          <w:color w:val="4B5563"/>
          <w:sz w:val="17"/>
        </w:rPr>
        <w:t>Use after completing the readiness map, selecting the profile, and preparing basic information. One clear request is more effective than a broad “tell me about your services” email.</w:t>
      </w:r>
    </w:p>
    <w:tbl>
      <w:tblPr>
        <w:tblW w:type="auto" w:w="0"/>
        <w:jc w:val="center"/>
        <w:tblLayout w:type="fixed"/>
        <w:tblLook w:firstColumn="1" w:firstRow="1" w:lastColumn="0" w:lastRow="0" w:noHBand="0" w:noVBand="1" w:val="04A0"/>
      </w:tblPr>
      <w:tblGrid>
        <w:gridCol w:w="10252"/>
      </w:tblGrid>
      <w:tr>
        <w:tc>
          <w:tcPr>
            <w:tcW w:type="dxa" w:w="10252"/>
            <w:shd w:fill="FFF5E7" w:val="clear"/>
            <w:tcBorders>
              <w:top w:val="single" w:sz="10" w:color="C89B2C"/>
              <w:left w:val="single" w:sz="10" w:color="C89B2C"/>
              <w:bottom w:val="single" w:sz="10" w:color="C89B2C"/>
              <w:right w:val="single" w:sz="10" w:color="C89B2C"/>
            </w:tcBorders>
            <w:tcMar>
              <w:top w:w="110" w:type="dxa"/>
              <w:start w:w="130" w:type="dxa"/>
              <w:bottom w:w="110" w:type="dxa"/>
              <w:end w:w="130" w:type="dxa"/>
            </w:tcMar>
          </w:tcPr>
          <w:p>
            <w:pPr>
              <w:keepLines/>
              <w:spacing w:before="0" w:after="40"/>
            </w:pPr>
            <w:r/>
            <w:r>
              <w:rPr>
                <w:rFonts w:ascii="Aptos" w:hAnsi="Aptos"/>
                <w:b/>
                <w:i w:val="0"/>
                <w:color w:val="C89B2C"/>
                <w:sz w:val="16"/>
              </w:rPr>
              <w:t>FOUNDER-TO-PARTNER PROJECT INQUIRY</w:t>
            </w:r>
          </w:p>
          <w:p>
            <w:pPr>
              <w:keepLines/>
              <w:spacing w:before="0" w:after="0" w:line="247" w:lineRule="auto"/>
            </w:pPr>
            <w:r>
              <w:rPr>
                <w:rFonts w:ascii="Aptos" w:hAnsi="Aptos"/>
                <w:b w:val="0"/>
                <w:i w:val="0"/>
                <w:color w:val="1E2730"/>
                <w:sz w:val="17"/>
              </w:rPr>
              <w:t>The language below creates a professional starting point. Replace every bracketed field before sending and include only the attachments relevant to the partner category.</w:t>
            </w:r>
          </w:p>
        </w:tc>
      </w:tr>
    </w:tbl>
    <w:p>
      <w:pPr>
        <w:widowControl/>
        <w:spacing w:after="40"/>
      </w:pPr>
    </w:p>
    <w:tbl>
      <w:tblPr>
        <w:tblW w:type="auto" w:w="0"/>
        <w:jc w:val="center"/>
        <w:tblLayout w:type="fixed"/>
        <w:tblLook w:firstColumn="1" w:firstRow="1" w:lastColumn="0" w:lastRow="0" w:noHBand="0" w:noVBand="1" w:val="04A0"/>
      </w:tblPr>
      <w:tblGrid>
        <w:gridCol w:w="10252"/>
      </w:tblGrid>
      <w:tr>
        <w:tc>
          <w:tcPr>
            <w:tcW w:type="dxa" w:w="10252"/>
            <w:shd w:fill="FFFFFF" w:val="clear"/>
            <w:tcBorders>
              <w:top w:val="single" w:sz="7" w:color="C89B2C"/>
              <w:left w:val="single" w:sz="7" w:color="C89B2C"/>
              <w:bottom w:val="single" w:sz="7" w:color="C89B2C"/>
              <w:right w:val="single" w:sz="7" w:color="C89B2C"/>
            </w:tcBorders>
            <w:tcMar>
              <w:top w:w="120" w:type="dxa"/>
              <w:start w:w="135" w:type="dxa"/>
              <w:bottom w:w="120" w:type="dxa"/>
              <w:end w:w="135" w:type="dxa"/>
            </w:tcMar>
          </w:tcPr>
          <w:p>
            <w:pPr>
              <w:keepLines/>
              <w:spacing w:before="0" w:after="80"/>
            </w:pPr>
            <w:r/>
            <w:r>
              <w:rPr>
                <w:rFonts w:ascii="Aptos" w:hAnsi="Aptos"/>
                <w:b/>
                <w:i w:val="0"/>
                <w:color w:val="071E41"/>
                <w:sz w:val="16"/>
              </w:rPr>
              <w:t>SUBJECT: [Brand Name] | [Product / Service Need] | Initial Fit Conversation</w:t>
            </w:r>
          </w:p>
          <w:p>
            <w:pPr>
              <w:keepLines/>
              <w:spacing w:before="0" w:after="80" w:line="245" w:lineRule="auto"/>
            </w:pPr>
            <w:r>
              <w:rPr>
                <w:rFonts w:ascii="Aptos" w:hAnsi="Aptos"/>
                <w:b w:val="0"/>
                <w:i w:val="0"/>
                <w:color w:val="1E2730"/>
                <w:sz w:val="16"/>
              </w:rPr>
              <w:t>Hello [Name or Team],</w:t>
            </w:r>
          </w:p>
          <w:p>
            <w:pPr>
              <w:keepLines/>
              <w:spacing w:before="0" w:after="80" w:line="245" w:lineRule="auto"/>
            </w:pPr>
            <w:r>
              <w:rPr>
                <w:rFonts w:ascii="Aptos" w:hAnsi="Aptos"/>
                <w:b w:val="0"/>
                <w:i w:val="0"/>
                <w:color w:val="1E2730"/>
                <w:sz w:val="16"/>
              </w:rPr>
              <w:t>I am the founder of [Brand]. We are building [one-sentence description] for [target customer / category]. I found your company through The Brand Blueprint Manufacturing, Packaging + Fulfillment Operating Partner Directory and believe there may be fit because [specific public capability or category].</w:t>
            </w:r>
          </w:p>
          <w:p>
            <w:pPr>
              <w:keepLines/>
              <w:spacing w:before="0" w:after="80" w:line="245" w:lineRule="auto"/>
            </w:pPr>
            <w:r>
              <w:rPr>
                <w:rFonts w:ascii="Aptos" w:hAnsi="Aptos"/>
                <w:b w:val="0"/>
                <w:i w:val="0"/>
                <w:color w:val="1E2730"/>
                <w:sz w:val="16"/>
              </w:rPr>
              <w:t>We are currently at [stage]. Our immediate need is [manufacturing / packaging / fulfillment / warehouse requirement]. At a high level, we are planning for [quantity / order volume / square footage / project scope], a target start or launch date of [date], and [DTC / retail / wholesale / marketplace] as our primary channel.</w:t>
            </w:r>
          </w:p>
          <w:p>
            <w:pPr>
              <w:keepLines/>
              <w:spacing w:before="0" w:after="80" w:line="245" w:lineRule="auto"/>
            </w:pPr>
            <w:r>
              <w:rPr>
                <w:rFonts w:ascii="Aptos" w:hAnsi="Aptos"/>
                <w:b w:val="0"/>
                <w:i w:val="0"/>
                <w:color w:val="1E2730"/>
                <w:sz w:val="16"/>
              </w:rPr>
              <w:t>I would like to understand whether our project is within your current capability and what you would need from us to evaluate fit. Specifically, I would appreciate guidance on MOQ or minimum commitment, end-to-end lead time, pricing and payment structure, required onboarding or credit information, and the materials you need for a useful quote.</w:t>
            </w:r>
          </w:p>
          <w:p>
            <w:pPr>
              <w:keepLines/>
              <w:spacing w:before="0" w:after="80" w:line="245" w:lineRule="auto"/>
            </w:pPr>
            <w:r>
              <w:rPr>
                <w:rFonts w:ascii="Aptos" w:hAnsi="Aptos"/>
                <w:b w:val="0"/>
                <w:i w:val="0"/>
                <w:color w:val="1E2730"/>
                <w:sz w:val="16"/>
              </w:rPr>
              <w:t>I can provide [product brief / SKU data / dimensions / forecast / artwork / formula summary] in advance of a call.</w:t>
            </w:r>
          </w:p>
          <w:p>
            <w:pPr>
              <w:keepLines/>
              <w:spacing w:before="0" w:after="80" w:line="245" w:lineRule="auto"/>
            </w:pPr>
            <w:r>
              <w:rPr>
                <w:rFonts w:ascii="Aptos" w:hAnsi="Aptos"/>
                <w:b w:val="0"/>
                <w:i w:val="0"/>
                <w:color w:val="1E2730"/>
                <w:sz w:val="16"/>
              </w:rPr>
              <w:t>Thank you,</w:t>
              <w:br/>
              <w:t>[Founder Name]</w:t>
              <w:br/>
              <w:t>[Brand]</w:t>
              <w:br/>
              <w:t>[Phone] | [Email] | [Website]</w:t>
            </w:r>
          </w:p>
        </w:tc>
      </w:tr>
    </w:tbl>
    <w:p>
      <w:pPr>
        <w:widowControl/>
      </w:pPr>
      <w:r>
        <w:br w:type="page"/>
      </w:r>
    </w:p>
    <w:p>
      <w:pPr>
        <w:keepNext/>
        <w:widowControl/>
        <w:spacing w:before="0" w:after="60"/>
      </w:pPr>
      <w:r>
        <w:rPr>
          <w:rFonts w:ascii="Aptos" w:hAnsi="Aptos"/>
          <w:b/>
          <w:i w:val="0"/>
          <w:color w:val="3978D7"/>
          <w:sz w:val="16"/>
        </w:rPr>
        <w:t>14 | HOW THIS RESOURCE ROUTES INSIDE THE ECOSYSTEM</w:t>
      </w:r>
    </w:p>
    <w:p>
      <w:pPr>
        <w:keepNext/>
        <w:widowControl/>
        <w:spacing w:before="0" w:after="80"/>
      </w:pPr>
      <w:r>
        <w:rPr>
          <w:rFonts w:ascii="Aptos Display" w:hAnsi="Aptos Display"/>
          <w:b/>
          <w:i w:val="0"/>
          <w:color w:val="071E41"/>
          <w:sz w:val="40"/>
        </w:rPr>
        <w:t>When a Directory Is Not Enough</w:t>
      </w:r>
    </w:p>
    <w:p>
      <w:pPr>
        <w:keepNext/>
        <w:widowControl/>
        <w:spacing w:before="0" w:after="200" w:line="252" w:lineRule="auto"/>
      </w:pPr>
      <w:r>
        <w:rPr>
          <w:rFonts w:ascii="Aptos" w:hAnsi="Aptos"/>
          <w:b w:val="0"/>
          <w:i w:val="0"/>
          <w:color w:val="4B5563"/>
          <w:sz w:val="17"/>
        </w:rPr>
        <w:t>The resource is designed to help founders self-select the right next action without turning a library asset into unlimited individualized consulting.</w:t>
      </w:r>
    </w:p>
    <w:tbl>
      <w:tblPr>
        <w:tblW w:type="auto" w:w="0"/>
        <w:jc w:val="center"/>
        <w:tblLayout w:type="fixed"/>
        <w:tblLook w:firstColumn="1" w:firstRow="1" w:lastColumn="0" w:lastRow="0" w:noHBand="0" w:noVBand="1" w:val="04A0"/>
      </w:tblPr>
      <w:tblGrid>
        <w:gridCol w:w="3417"/>
        <w:gridCol w:w="3417"/>
        <w:gridCol w:w="3417"/>
      </w:tblGrid>
      <w:tr>
        <w:trPr>
          <w:tblHeader w:val="true"/>
        </w:trPr>
        <w:tc>
          <w:tcPr>
            <w:tcW w:type="dxa" w:w="3024"/>
            <w:shd w:fill="071E41" w:val="clear"/>
            <w:tcMar>
              <w:top w:w="75" w:type="dxa"/>
              <w:start w:w="85" w:type="dxa"/>
              <w:bottom w:w="75" w:type="dxa"/>
              <w:end w:w="85" w:type="dxa"/>
            </w:tcMar>
          </w:tcPr>
          <w:p>
            <w:pPr>
              <w:spacing w:before="0" w:after="0"/>
            </w:pPr>
            <w:r/>
            <w:r>
              <w:rPr>
                <w:rFonts w:ascii="Aptos" w:hAnsi="Aptos"/>
                <w:b/>
                <w:i w:val="0"/>
                <w:color w:val="FFFFFF"/>
                <w:sz w:val="14"/>
              </w:rPr>
              <w:t>FOUNDER SIGNAL</w:t>
            </w:r>
          </w:p>
        </w:tc>
        <w:tc>
          <w:tcPr>
            <w:tcW w:type="dxa" w:w="4031"/>
            <w:shd w:fill="071E41" w:val="clear"/>
            <w:tcMar>
              <w:top w:w="75" w:type="dxa"/>
              <w:start w:w="85" w:type="dxa"/>
              <w:bottom w:w="75" w:type="dxa"/>
              <w:end w:w="85" w:type="dxa"/>
            </w:tcMar>
          </w:tcPr>
          <w:p>
            <w:pPr>
              <w:spacing w:before="0" w:after="0"/>
            </w:pPr>
            <w:r/>
            <w:r>
              <w:rPr>
                <w:rFonts w:ascii="Aptos" w:hAnsi="Aptos"/>
                <w:b/>
                <w:i w:val="0"/>
                <w:color w:val="FFFFFF"/>
                <w:sz w:val="14"/>
              </w:rPr>
              <w:t>RESOURCE-LED NEXT ACTION</w:t>
            </w:r>
          </w:p>
        </w:tc>
        <w:tc>
          <w:tcPr>
            <w:tcW w:type="dxa" w:w="3196"/>
            <w:shd w:fill="071E41" w:val="clear"/>
            <w:tcMar>
              <w:top w:w="75" w:type="dxa"/>
              <w:start w:w="85" w:type="dxa"/>
              <w:bottom w:w="75" w:type="dxa"/>
              <w:end w:w="85" w:type="dxa"/>
            </w:tcMar>
          </w:tcPr>
          <w:p>
            <w:pPr>
              <w:spacing w:before="0" w:after="0"/>
            </w:pPr>
            <w:r/>
            <w:r>
              <w:rPr>
                <w:rFonts w:ascii="Aptos" w:hAnsi="Aptos"/>
                <w:b/>
                <w:i w:val="0"/>
                <w:color w:val="FFFFFF"/>
                <w:sz w:val="14"/>
              </w:rPr>
              <w:t>APPROPRIATE SUPPORT PATH</w:t>
            </w:r>
          </w:p>
        </w:tc>
      </w:tr>
      <w:tr>
        <w:trPr>
          <w:cantSplit/>
        </w:trPr>
        <w:tc>
          <w:tcPr>
            <w:tcW w:type="dxa" w:w="3024"/>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i w:val="0"/>
                <w:color w:val="0B2D57"/>
                <w:sz w:val="15"/>
              </w:rPr>
              <w:t>“I have an idea but do not know what I can make.”</w:t>
            </w:r>
          </w:p>
        </w:tc>
        <w:tc>
          <w:tcPr>
            <w:tcW w:type="dxa" w:w="4031"/>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Use the readiness map; identify product category and first commercial test path; create a basic product brief.</w:t>
            </w:r>
          </w:p>
        </w:tc>
        <w:tc>
          <w:tcPr>
            <w:tcW w:type="dxa" w:w="3196"/>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Founder Network tools; maker/prototype resources; targeted VGP advisory when formulation or product strategy is needed.</w:t>
            </w:r>
          </w:p>
        </w:tc>
      </w:tr>
      <w:tr>
        <w:trPr>
          <w:cantSplit/>
        </w:trPr>
        <w:tc>
          <w:tcPr>
            <w:tcW w:type="dxa" w:w="3024"/>
            <w:shd w:fill="F5F8FC"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i w:val="0"/>
                <w:color w:val="0B2D57"/>
                <w:sz w:val="15"/>
              </w:rPr>
              <w:t>“I have quotes but cannot tell which partner is right.”</w:t>
            </w:r>
          </w:p>
        </w:tc>
        <w:tc>
          <w:tcPr>
            <w:tcW w:type="dxa" w:w="4031"/>
            <w:shd w:fill="F5F8FC"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Use the Vendor Comparison Scorecard, commercial terms checklist, and a simple forecast/margin analysis.</w:t>
            </w:r>
          </w:p>
        </w:tc>
        <w:tc>
          <w:tcPr>
            <w:tcW w:type="dxa" w:w="3196"/>
            <w:shd w:fill="F5F8FC"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Founder Accelerator / LaunchPad; VGP operations sourcing or retail-readiness advisory based on complexity.</w:t>
            </w:r>
          </w:p>
        </w:tc>
      </w:tr>
      <w:tr>
        <w:trPr>
          <w:cantSplit/>
        </w:trPr>
        <w:tc>
          <w:tcPr>
            <w:tcW w:type="dxa" w:w="3024"/>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i w:val="0"/>
                <w:color w:val="0B2D57"/>
                <w:sz w:val="15"/>
              </w:rPr>
              <w:t>“I need inventory or fulfillment now.”</w:t>
            </w:r>
          </w:p>
        </w:tc>
        <w:tc>
          <w:tcPr>
            <w:tcW w:type="dxa" w:w="4031"/>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Map SKU/pack profile, monthly orders, channels, cost-to-serve, and desired operating model.</w:t>
            </w:r>
          </w:p>
        </w:tc>
        <w:tc>
          <w:tcPr>
            <w:tcW w:type="dxa" w:w="3196"/>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3PL/warehouse category fit; Growth OS inventory/order workflow; VGP operating support.</w:t>
            </w:r>
          </w:p>
        </w:tc>
      </w:tr>
      <w:tr>
        <w:trPr>
          <w:cantSplit/>
        </w:trPr>
        <w:tc>
          <w:tcPr>
            <w:tcW w:type="dxa" w:w="3024"/>
            <w:shd w:fill="F5F8FC"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i w:val="0"/>
                <w:color w:val="0B2D57"/>
                <w:sz w:val="15"/>
              </w:rPr>
              <w:t>“A retailer wants a more polished package or production plan.”</w:t>
            </w:r>
          </w:p>
        </w:tc>
        <w:tc>
          <w:tcPr>
            <w:tcW w:type="dxa" w:w="4031"/>
            <w:shd w:fill="F5F8FC"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Rebuild product spec, case/pallet/packaging, capacity, lead time, margin, and retail service plan.</w:t>
            </w:r>
          </w:p>
        </w:tc>
        <w:tc>
          <w:tcPr>
            <w:tcW w:type="dxa" w:w="3196"/>
            <w:shd w:fill="F5F8FC"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Retail Buyer Outreach Pack + packaging/manufacturer evaluation + VGP project scope when needed.</w:t>
            </w:r>
          </w:p>
        </w:tc>
      </w:tr>
      <w:tr>
        <w:trPr>
          <w:cantSplit/>
        </w:trPr>
        <w:tc>
          <w:tcPr>
            <w:tcW w:type="dxa" w:w="3024"/>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i w:val="0"/>
                <w:color w:val="0B2D57"/>
                <w:sz w:val="15"/>
              </w:rPr>
              <w:t>“I need an introduction.”</w:t>
            </w:r>
          </w:p>
        </w:tc>
        <w:tc>
          <w:tcPr>
            <w:tcW w:type="dxa" w:w="4031"/>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Complete a readiness check. Confirm the brief, budget, timing, and minimum information needed to respect partner time.</w:t>
            </w:r>
          </w:p>
        </w:tc>
        <w:tc>
          <w:tcPr>
            <w:tcW w:type="dxa" w:w="3196"/>
            <w:shd w:fill="FFFFFF"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Curated Partner Network routing; referral disclosure before introduction; no promise of acceptance.</w:t>
            </w:r>
          </w:p>
        </w:tc>
      </w:tr>
      <w:tr>
        <w:trPr>
          <w:cantSplit/>
        </w:trPr>
        <w:tc>
          <w:tcPr>
            <w:tcW w:type="dxa" w:w="3024"/>
            <w:shd w:fill="F5F8FC"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i w:val="0"/>
                <w:color w:val="0B2D57"/>
                <w:sz w:val="15"/>
              </w:rPr>
              <w:t>“I need to finance the run.”</w:t>
            </w:r>
          </w:p>
        </w:tc>
        <w:tc>
          <w:tcPr>
            <w:tcW w:type="dxa" w:w="4031"/>
            <w:shd w:fill="F5F8FC"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Quantify first-run cash need, deposits, freight, packaging, launch spend, and re-order timeline before choosing a capital path.</w:t>
            </w:r>
          </w:p>
        </w:tc>
        <w:tc>
          <w:tcPr>
            <w:tcW w:type="dxa" w:w="3196"/>
            <w:shd w:fill="F5F8FC" w:val="clear"/>
            <w:tcBorders>
              <w:bottom w:val="single" w:sz="3" w:color="D7DEE8"/>
            </w:tcBorders>
            <w:tcMar>
              <w:top w:w="82" w:type="dxa"/>
              <w:start w:w="85" w:type="dxa"/>
              <w:bottom w:w="82" w:type="dxa"/>
              <w:end w:w="85" w:type="dxa"/>
            </w:tcMar>
          </w:tcPr>
          <w:p>
            <w:pPr>
              <w:keepLines/>
              <w:spacing w:before="0" w:after="0" w:line="235" w:lineRule="auto"/>
            </w:pPr>
            <w:r/>
            <w:r>
              <w:rPr>
                <w:rFonts w:ascii="Aptos" w:hAnsi="Aptos"/>
                <w:b w:val="0"/>
                <w:i w:val="0"/>
                <w:color w:val="1E2730"/>
                <w:sz w:val="15"/>
              </w:rPr>
              <w:t>Founder Capital Access Toolkit, Funding Friday, VGP funding/forecast support, and appropriate licensed professionals.</w:t>
            </w:r>
          </w:p>
        </w:tc>
      </w:tr>
    </w:tbl>
    <w:p>
      <w:pPr>
        <w:widowControl/>
        <w:spacing w:after="80"/>
      </w:pPr>
    </w:p>
    <w:p>
      <w:pPr>
        <w:keepNext/>
        <w:widowControl/>
        <w:spacing w:before="0" w:after="60"/>
      </w:pPr>
      <w:r>
        <w:rPr>
          <w:rFonts w:ascii="Aptos" w:hAnsi="Aptos"/>
          <w:b/>
          <w:i w:val="0"/>
          <w:color w:val="3978D7"/>
          <w:sz w:val="16"/>
        </w:rPr>
        <w:t>VGP CAPABILITY CONNECTION</w:t>
      </w:r>
    </w:p>
    <w:tbl>
      <w:tblPr>
        <w:tblW w:type="auto" w:w="0"/>
        <w:jc w:val="center"/>
        <w:tblLayout w:type="fixed"/>
        <w:tblLook w:firstColumn="1" w:firstRow="1" w:lastColumn="0" w:lastRow="0" w:noHBand="0" w:noVBand="1" w:val="04A0"/>
      </w:tblPr>
      <w:tblGrid>
        <w:gridCol w:w="2563"/>
        <w:gridCol w:w="2563"/>
        <w:gridCol w:w="2563"/>
        <w:gridCol w:w="2563"/>
      </w:tblGrid>
      <w:tr>
        <w:tc>
          <w:tcPr>
            <w:tcW w:type="dxa" w:w="2563"/>
            <w:shd w:fill="EFF5FF" w:val="clear"/>
            <w:tcBorders>
              <w:top w:val="single" w:sz="7" w:color="3978D7"/>
              <w:left w:val="single" w:sz="4" w:color="FFFFFF"/>
              <w:bottom w:val="single" w:sz="7" w:color="3978D7"/>
              <w:right w:val="single" w:sz="4" w:color="FFFFFF"/>
            </w:tcBorders>
            <w:tcMar>
              <w:top w:w="105" w:type="dxa"/>
              <w:start w:w="95" w:type="dxa"/>
              <w:bottom w:w="105" w:type="dxa"/>
              <w:end w:w="95" w:type="dxa"/>
            </w:tcMar>
          </w:tcPr>
          <w:p>
            <w:pPr>
              <w:keepLines/>
              <w:spacing w:before="0" w:after="60"/>
            </w:pPr>
            <w:r/>
            <w:r>
              <w:rPr>
                <w:rFonts w:ascii="Aptos" w:hAnsi="Aptos"/>
                <w:b/>
                <w:i w:val="0"/>
                <w:color w:val="071E41"/>
                <w:sz w:val="14"/>
              </w:rPr>
              <w:t>OPERATIONS SOURCING</w:t>
            </w:r>
          </w:p>
          <w:p>
            <w:pPr>
              <w:keepLines/>
              <w:spacing w:before="0" w:after="0" w:line="238" w:lineRule="auto"/>
            </w:pPr>
            <w:r>
              <w:rPr>
                <w:rFonts w:ascii="Aptos" w:hAnsi="Aptos"/>
                <w:b w:val="0"/>
                <w:i w:val="0"/>
                <w:color w:val="1E2730"/>
                <w:sz w:val="15"/>
              </w:rPr>
              <w:t>Contract manufacturing, 3PL, storage, fulfillment, distributor, wholesaler, and broker sourcing support.</w:t>
            </w:r>
          </w:p>
        </w:tc>
        <w:tc>
          <w:tcPr>
            <w:tcW w:type="dxa" w:w="2563"/>
            <w:shd w:fill="F5F8FC" w:val="clear"/>
            <w:tcBorders>
              <w:top w:val="single" w:sz="7" w:color="3978D7"/>
              <w:left w:val="single" w:sz="4" w:color="FFFFFF"/>
              <w:bottom w:val="single" w:sz="7" w:color="3978D7"/>
              <w:right w:val="single" w:sz="4" w:color="FFFFFF"/>
            </w:tcBorders>
            <w:tcMar>
              <w:top w:w="105" w:type="dxa"/>
              <w:start w:w="95" w:type="dxa"/>
              <w:bottom w:w="105" w:type="dxa"/>
              <w:end w:w="95" w:type="dxa"/>
            </w:tcMar>
          </w:tcPr>
          <w:p>
            <w:pPr>
              <w:keepLines/>
              <w:spacing w:before="0" w:after="60"/>
            </w:pPr>
            <w:r/>
            <w:r>
              <w:rPr>
                <w:rFonts w:ascii="Aptos" w:hAnsi="Aptos"/>
                <w:b/>
                <w:i w:val="0"/>
                <w:color w:val="071E41"/>
                <w:sz w:val="14"/>
              </w:rPr>
              <w:t>RETAIL + DISTRIBUTION STRATEGY</w:t>
            </w:r>
          </w:p>
          <w:p>
            <w:pPr>
              <w:keepLines/>
              <w:spacing w:before="0" w:after="0" w:line="238" w:lineRule="auto"/>
            </w:pPr>
            <w:r>
              <w:rPr>
                <w:rFonts w:ascii="Aptos" w:hAnsi="Aptos"/>
                <w:b w:val="0"/>
                <w:i w:val="0"/>
                <w:color w:val="1E2730"/>
                <w:sz w:val="15"/>
              </w:rPr>
              <w:t>Retail readiness, buyer materials, distributor/broker strategy, wholesale approach, retail trial activation, and channel planning.</w:t>
            </w:r>
          </w:p>
        </w:tc>
        <w:tc>
          <w:tcPr>
            <w:tcW w:type="dxa" w:w="2563"/>
            <w:shd w:fill="EFF5FF" w:val="clear"/>
            <w:tcBorders>
              <w:top w:val="single" w:sz="7" w:color="3978D7"/>
              <w:left w:val="single" w:sz="4" w:color="FFFFFF"/>
              <w:bottom w:val="single" w:sz="7" w:color="3978D7"/>
              <w:right w:val="single" w:sz="4" w:color="FFFFFF"/>
            </w:tcBorders>
            <w:tcMar>
              <w:top w:w="105" w:type="dxa"/>
              <w:start w:w="95" w:type="dxa"/>
              <w:bottom w:w="105" w:type="dxa"/>
              <w:end w:w="95" w:type="dxa"/>
            </w:tcMar>
          </w:tcPr>
          <w:p>
            <w:pPr>
              <w:keepLines/>
              <w:spacing w:before="0" w:after="60"/>
            </w:pPr>
            <w:r/>
            <w:r>
              <w:rPr>
                <w:rFonts w:ascii="Aptos" w:hAnsi="Aptos"/>
                <w:b/>
                <w:i w:val="0"/>
                <w:color w:val="071E41"/>
                <w:sz w:val="14"/>
              </w:rPr>
              <w:t>FUNDING + FORECAST READINESS</w:t>
            </w:r>
          </w:p>
          <w:p>
            <w:pPr>
              <w:keepLines/>
              <w:spacing w:before="0" w:after="0" w:line="238" w:lineRule="auto"/>
            </w:pPr>
            <w:r>
              <w:rPr>
                <w:rFonts w:ascii="Aptos" w:hAnsi="Aptos"/>
                <w:b w:val="0"/>
                <w:i w:val="0"/>
                <w:color w:val="1E2730"/>
                <w:sz w:val="15"/>
              </w:rPr>
              <w:t>Forecast logic, funding gap, grant/investor preparation, inventory and working-capital planning.</w:t>
            </w:r>
          </w:p>
        </w:tc>
        <w:tc>
          <w:tcPr>
            <w:tcW w:type="dxa" w:w="2563"/>
            <w:shd w:fill="F5F8FC" w:val="clear"/>
            <w:tcBorders>
              <w:top w:val="single" w:sz="7" w:color="3978D7"/>
              <w:left w:val="single" w:sz="4" w:color="FFFFFF"/>
              <w:bottom w:val="single" w:sz="7" w:color="3978D7"/>
              <w:right w:val="single" w:sz="4" w:color="FFFFFF"/>
            </w:tcBorders>
            <w:tcMar>
              <w:top w:w="105" w:type="dxa"/>
              <w:start w:w="95" w:type="dxa"/>
              <w:bottom w:w="105" w:type="dxa"/>
              <w:end w:w="95" w:type="dxa"/>
            </w:tcMar>
          </w:tcPr>
          <w:p>
            <w:pPr>
              <w:keepLines/>
              <w:spacing w:before="0" w:after="60"/>
            </w:pPr>
            <w:r/>
            <w:r>
              <w:rPr>
                <w:rFonts w:ascii="Aptos" w:hAnsi="Aptos"/>
                <w:b/>
                <w:i w:val="0"/>
                <w:color w:val="071E41"/>
                <w:sz w:val="14"/>
              </w:rPr>
              <w:t>GROWTH OS DIAGNOSTIC + BUILD</w:t>
            </w:r>
          </w:p>
          <w:p>
            <w:pPr>
              <w:keepLines/>
              <w:spacing w:before="0" w:after="0" w:line="238" w:lineRule="auto"/>
            </w:pPr>
            <w:r>
              <w:rPr>
                <w:rFonts w:ascii="Aptos" w:hAnsi="Aptos"/>
                <w:b w:val="0"/>
                <w:i w:val="0"/>
                <w:color w:val="1E2730"/>
                <w:sz w:val="15"/>
              </w:rPr>
              <w:t>Tool audit, workflow map, dashboards, forecast workbook, meeting intelligence, action trackers, and automation roadmap.</w:t>
            </w:r>
          </w:p>
        </w:tc>
      </w:tr>
    </w:tbl>
    <w:p>
      <w:pPr>
        <w:widowControl/>
        <w:spacing w:after="80"/>
      </w:pPr>
    </w:p>
    <w:tbl>
      <w:tblPr>
        <w:tblW w:type="auto" w:w="0"/>
        <w:jc w:val="center"/>
        <w:tblLayout w:type="fixed"/>
        <w:tblLook w:firstColumn="1" w:firstRow="1" w:lastColumn="0" w:lastRow="0" w:noHBand="0" w:noVBand="1" w:val="04A0"/>
      </w:tblPr>
      <w:tblGrid>
        <w:gridCol w:w="10252"/>
      </w:tblGrid>
      <w:tr>
        <w:tc>
          <w:tcPr>
            <w:tcW w:type="dxa" w:w="10252"/>
            <w:shd w:fill="FFF5E7" w:val="clear"/>
            <w:tcBorders>
              <w:top w:val="single" w:sz="10" w:color="C89B2C"/>
              <w:left w:val="single" w:sz="10" w:color="C89B2C"/>
              <w:bottom w:val="single" w:sz="10" w:color="C89B2C"/>
              <w:right w:val="single" w:sz="10" w:color="C89B2C"/>
            </w:tcBorders>
            <w:tcMar>
              <w:top w:w="110" w:type="dxa"/>
              <w:start w:w="130" w:type="dxa"/>
              <w:bottom w:w="110" w:type="dxa"/>
              <w:end w:w="130" w:type="dxa"/>
            </w:tcMar>
          </w:tcPr>
          <w:p>
            <w:pPr>
              <w:keepLines/>
              <w:spacing w:before="0" w:after="40"/>
            </w:pPr>
            <w:r/>
            <w:r>
              <w:rPr>
                <w:rFonts w:ascii="Aptos" w:hAnsi="Aptos"/>
                <w:b/>
                <w:i w:val="0"/>
                <w:color w:val="C89B2C"/>
                <w:sz w:val="16"/>
              </w:rPr>
              <w:t>PARTNER-NETWORK DISCLOSURE STANDARD</w:t>
            </w:r>
          </w:p>
          <w:p>
            <w:pPr>
              <w:keepLines/>
              <w:spacing w:before="0" w:after="0" w:line="247" w:lineRule="auto"/>
            </w:pPr>
            <w:r>
              <w:rPr>
                <w:rFonts w:ascii="Aptos" w:hAnsi="Aptos"/>
                <w:b w:val="0"/>
                <w:i w:val="0"/>
                <w:color w:val="1E2730"/>
                <w:sz w:val="17"/>
              </w:rPr>
              <w:t>A listing in this directory is educational and research-based. If VGP has a referral fee, affiliate relationship, discount, sponsorship, paid placement, or other commercial relationship with a partner, that relationship should be disclosed to the founder before or at the time of an introduction. An introduction is never a guarantee of acceptance, pricing, availability, service quality, or outcome.</w:t>
            </w:r>
          </w:p>
        </w:tc>
      </w:tr>
    </w:tbl>
    <w:p>
      <w:pPr>
        <w:widowControl/>
        <w:spacing w:after="40"/>
      </w:pPr>
    </w:p>
    <w:p>
      <w:pPr>
        <w:widowControl/>
      </w:pPr>
      <w:r>
        <w:br w:type="page"/>
      </w:r>
    </w:p>
    <w:p>
      <w:pPr>
        <w:keepNext/>
        <w:widowControl/>
        <w:spacing w:before="0" w:after="60"/>
      </w:pPr>
      <w:r>
        <w:rPr>
          <w:rFonts w:ascii="Aptos" w:hAnsi="Aptos"/>
          <w:b/>
          <w:i w:val="0"/>
          <w:color w:val="3978D7"/>
          <w:sz w:val="16"/>
        </w:rPr>
        <w:t>APPENDIX A | PUBLIC CONTACT QUICK SHEETS</w:t>
      </w:r>
    </w:p>
    <w:p>
      <w:pPr>
        <w:keepNext/>
        <w:widowControl/>
        <w:spacing w:before="0" w:after="80"/>
      </w:pPr>
      <w:r>
        <w:rPr>
          <w:rFonts w:ascii="Aptos Display" w:hAnsi="Aptos Display"/>
          <w:b/>
          <w:i w:val="0"/>
          <w:color w:val="071E41"/>
          <w:sz w:val="40"/>
        </w:rPr>
        <w:t>New-Project Routes at a Glance</w:t>
      </w:r>
    </w:p>
    <w:p>
      <w:pPr>
        <w:keepNext/>
        <w:widowControl/>
        <w:spacing w:before="0" w:after="200" w:line="252" w:lineRule="auto"/>
      </w:pPr>
      <w:r>
        <w:rPr>
          <w:rFonts w:ascii="Aptos" w:hAnsi="Aptos"/>
          <w:b w:val="0"/>
          <w:i w:val="0"/>
          <w:color w:val="4B5563"/>
          <w:sz w:val="17"/>
        </w:rPr>
        <w:t>Use these quick sheets only after reviewing the full profile. Contact routes are public inbound routes carried forward from the verified July 1, 2026 source snapshot; named contacts are included only where the company publicly identifies a relevant role.</w:t>
      </w:r>
    </w:p>
    <w:p>
      <w:pPr>
        <w:keepNext/>
        <w:widowControl/>
        <w:spacing w:before="0" w:after="60"/>
      </w:pPr>
      <w:r>
        <w:rPr>
          <w:rFonts w:ascii="Aptos" w:hAnsi="Aptos"/>
          <w:b/>
          <w:i w:val="0"/>
          <w:color w:val="3978D7"/>
          <w:sz w:val="16"/>
        </w:rPr>
        <w:t>MANUFACTURING + CO-PACKING</w:t>
      </w:r>
    </w:p>
    <w:p>
      <w:pPr>
        <w:keepNext/>
        <w:widowControl/>
        <w:spacing w:before="0" w:after="140" w:line="240" w:lineRule="auto"/>
      </w:pPr>
      <w:r>
        <w:rPr>
          <w:rFonts w:ascii="Aptos" w:hAnsi="Aptos"/>
          <w:b w:val="0"/>
          <w:i w:val="0"/>
          <w:color w:val="4B5563"/>
          <w:sz w:val="16"/>
        </w:rPr>
        <w:t>Beauty, personal care, beverage, food, and dry-blend partners. Check the full profile for product fit, exact public MOQ/timing signal, and required founder information before contact.</w:t>
      </w:r>
    </w:p>
    <w:tbl>
      <w:tblPr>
        <w:tblW w:type="auto" w:w="0"/>
        <w:jc w:val="center"/>
        <w:tblLayout w:type="fixed"/>
        <w:tblLook w:firstColumn="1" w:firstRow="1" w:lastColumn="0" w:lastRow="0" w:noHBand="0" w:noVBand="1" w:val="04A0"/>
      </w:tblPr>
      <w:tblGrid>
        <w:gridCol w:w="2563"/>
        <w:gridCol w:w="2563"/>
        <w:gridCol w:w="2563"/>
        <w:gridCol w:w="2563"/>
      </w:tblGrid>
      <w:tr>
        <w:trPr>
          <w:tblHeader w:val="true"/>
        </w:trPr>
        <w:tc>
          <w:tcPr>
            <w:tcW w:type="dxa" w:w="1224"/>
            <w:shd w:fill="071E41" w:val="clear"/>
            <w:tcMar>
              <w:top w:w="60" w:type="dxa"/>
              <w:start w:w="65" w:type="dxa"/>
              <w:bottom w:w="60" w:type="dxa"/>
              <w:end w:w="65" w:type="dxa"/>
            </w:tcMar>
          </w:tcPr>
          <w:p>
            <w:pPr>
              <w:spacing w:before="0" w:after="0"/>
            </w:pPr>
            <w:r/>
            <w:r>
              <w:rPr>
                <w:rFonts w:ascii="Aptos" w:hAnsi="Aptos"/>
                <w:b/>
                <w:i w:val="0"/>
                <w:color w:val="FFFFFF"/>
                <w:sz w:val="13"/>
              </w:rPr>
              <w:t>ID</w:t>
            </w:r>
          </w:p>
        </w:tc>
        <w:tc>
          <w:tcPr>
            <w:tcW w:type="dxa" w:w="2376"/>
            <w:shd w:fill="071E41" w:val="clear"/>
            <w:tcMar>
              <w:top w:w="60" w:type="dxa"/>
              <w:start w:w="65" w:type="dxa"/>
              <w:bottom w:w="60" w:type="dxa"/>
              <w:end w:w="65" w:type="dxa"/>
            </w:tcMar>
          </w:tcPr>
          <w:p>
            <w:pPr>
              <w:spacing w:before="0" w:after="0"/>
            </w:pPr>
            <w:r/>
            <w:r>
              <w:rPr>
                <w:rFonts w:ascii="Aptos" w:hAnsi="Aptos"/>
                <w:b/>
                <w:i w:val="0"/>
                <w:color w:val="FFFFFF"/>
                <w:sz w:val="13"/>
              </w:rPr>
              <w:t>PARTNER</w:t>
            </w:r>
          </w:p>
        </w:tc>
        <w:tc>
          <w:tcPr>
            <w:tcW w:type="dxa" w:w="4968"/>
            <w:shd w:fill="071E41" w:val="clear"/>
            <w:tcMar>
              <w:top w:w="60" w:type="dxa"/>
              <w:start w:w="65" w:type="dxa"/>
              <w:bottom w:w="60" w:type="dxa"/>
              <w:end w:w="65" w:type="dxa"/>
            </w:tcMar>
          </w:tcPr>
          <w:p>
            <w:pPr>
              <w:spacing w:before="0" w:after="0"/>
            </w:pPr>
            <w:r/>
            <w:r>
              <w:rPr>
                <w:rFonts w:ascii="Aptos" w:hAnsi="Aptos"/>
                <w:b/>
                <w:i w:val="0"/>
                <w:color w:val="FFFFFF"/>
                <w:sz w:val="13"/>
              </w:rPr>
              <w:t>PUBLIC NEW-PROJECT ROUTE</w:t>
            </w:r>
          </w:p>
        </w:tc>
        <w:tc>
          <w:tcPr>
            <w:tcW w:type="dxa" w:w="1684"/>
            <w:shd w:fill="071E41" w:val="clear"/>
            <w:tcMar>
              <w:top w:w="60" w:type="dxa"/>
              <w:start w:w="65" w:type="dxa"/>
              <w:bottom w:w="60" w:type="dxa"/>
              <w:end w:w="65" w:type="dxa"/>
            </w:tcMar>
          </w:tcPr>
          <w:p>
            <w:pPr>
              <w:spacing w:before="0" w:after="0"/>
            </w:pPr>
            <w:r/>
            <w:r>
              <w:rPr>
                <w:rFonts w:ascii="Aptos" w:hAnsi="Aptos"/>
                <w:b/>
                <w:i w:val="0"/>
                <w:color w:val="FFFFFF"/>
                <w:sz w:val="13"/>
              </w:rPr>
              <w:t>WEBSITE</w:t>
            </w:r>
          </w:p>
        </w:tc>
      </w:tr>
      <w:tr>
        <w:trPr>
          <w:cantSplit/>
        </w:trPr>
        <w:tc>
          <w:tcPr>
            <w:tcW w:type="dxa" w:w="122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MFG-B01</w:t>
            </w:r>
          </w:p>
        </w:tc>
        <w:tc>
          <w:tcPr>
            <w:tcW w:type="dxa" w:w="2376"/>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Dlab Custom Cosmetics</w:t>
            </w:r>
          </w:p>
        </w:tc>
        <w:tc>
          <w:tcPr>
            <w:tcW w:type="dxa" w:w="4968"/>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DLAB project team. support@dlabcosmetics.com | International WhatsApp +1 (304) 772-2544 | calendly.com/dlabcustomcosmetics/</w:t>
            </w:r>
          </w:p>
        </w:tc>
        <w:tc>
          <w:tcPr>
            <w:tcW w:type="dxa" w:w="168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dlabcosmetics.com</w:t>
            </w:r>
          </w:p>
        </w:tc>
      </w:tr>
      <w:tr>
        <w:trPr>
          <w:cantSplit/>
        </w:trPr>
        <w:tc>
          <w:tcPr>
            <w:tcW w:type="dxa" w:w="122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MFG-B02</w:t>
            </w:r>
          </w:p>
        </w:tc>
        <w:tc>
          <w:tcPr>
            <w:tcW w:type="dxa" w:w="2376"/>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Compounding Cosmetics</w:t>
            </w:r>
          </w:p>
        </w:tc>
        <w:tc>
          <w:tcPr>
            <w:tcW w:type="dxa" w:w="4968"/>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Discovery Call team. hello@compoundingcosmetics.com | 1-321-305-6640 | Port St. John / Cocoa, Florida.</w:t>
            </w:r>
          </w:p>
        </w:tc>
        <w:tc>
          <w:tcPr>
            <w:tcW w:type="dxa" w:w="168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compoundingcosmetics.com</w:t>
            </w:r>
          </w:p>
        </w:tc>
      </w:tr>
      <w:tr>
        <w:trPr>
          <w:cantSplit/>
        </w:trPr>
        <w:tc>
          <w:tcPr>
            <w:tcW w:type="dxa" w:w="122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MFG-B03</w:t>
            </w:r>
          </w:p>
        </w:tc>
        <w:tc>
          <w:tcPr>
            <w:tcW w:type="dxa" w:w="2376"/>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Tropical Labs</w:t>
            </w:r>
          </w:p>
        </w:tc>
        <w:tc>
          <w:tcPr>
            <w:tcW w:type="dxa" w:w="4968"/>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New Project Team via website contact form | 813-837-9800 | Tampa, Florida. A named inbound sales lead is not publicly identified.</w:t>
            </w:r>
          </w:p>
        </w:tc>
        <w:tc>
          <w:tcPr>
            <w:tcW w:type="dxa" w:w="168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tropicallabs.com</w:t>
            </w:r>
          </w:p>
        </w:tc>
      </w:tr>
      <w:tr>
        <w:trPr>
          <w:cantSplit/>
        </w:trPr>
        <w:tc>
          <w:tcPr>
            <w:tcW w:type="dxa" w:w="122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MFG-B04</w:t>
            </w:r>
          </w:p>
        </w:tc>
        <w:tc>
          <w:tcPr>
            <w:tcW w:type="dxa" w:w="2376"/>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Noesis Cosmetics</w:t>
            </w:r>
          </w:p>
        </w:tc>
        <w:tc>
          <w:tcPr>
            <w:tcW w:type="dxa" w:w="4968"/>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Sales inquiry / project form on the NOESIS website. A named new-business contact, public email, and public phone were not verified in this edition.</w:t>
            </w:r>
          </w:p>
        </w:tc>
        <w:tc>
          <w:tcPr>
            <w:tcW w:type="dxa" w:w="168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noesiscosmetics.com</w:t>
            </w:r>
          </w:p>
        </w:tc>
      </w:tr>
      <w:tr>
        <w:trPr>
          <w:cantSplit/>
        </w:trPr>
        <w:tc>
          <w:tcPr>
            <w:tcW w:type="dxa" w:w="122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MFG-B05</w:t>
            </w:r>
          </w:p>
        </w:tc>
        <w:tc>
          <w:tcPr>
            <w:tcW w:type="dxa" w:w="2376"/>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Formyoule</w:t>
            </w:r>
          </w:p>
        </w:tc>
        <w:tc>
          <w:tcPr>
            <w:tcW w:type="dxa" w:w="4968"/>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Business inquiry team. info@formyouleinc.com | Website contact form. A public sales phone or named new-business contact was not verified in this edition.</w:t>
            </w:r>
          </w:p>
        </w:tc>
        <w:tc>
          <w:tcPr>
            <w:tcW w:type="dxa" w:w="168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formyouleinc.com</w:t>
            </w:r>
          </w:p>
        </w:tc>
      </w:tr>
      <w:tr>
        <w:trPr>
          <w:cantSplit/>
        </w:trPr>
        <w:tc>
          <w:tcPr>
            <w:tcW w:type="dxa" w:w="122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MFG-C01</w:t>
            </w:r>
          </w:p>
        </w:tc>
        <w:tc>
          <w:tcPr>
            <w:tcW w:type="dxa" w:w="2376"/>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Protopackers</w:t>
            </w:r>
          </w:p>
        </w:tc>
        <w:tc>
          <w:tcPr>
            <w:tcW w:type="dxa" w:w="4968"/>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Project intake team via contact form | (831) 200-4020 | Riverside, California. Public sales email not listed on the contact page.</w:t>
            </w:r>
          </w:p>
        </w:tc>
        <w:tc>
          <w:tcPr>
            <w:tcW w:type="dxa" w:w="168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protopackers.com</w:t>
            </w:r>
          </w:p>
        </w:tc>
      </w:tr>
      <w:tr>
        <w:trPr>
          <w:cantSplit/>
        </w:trPr>
        <w:tc>
          <w:tcPr>
            <w:tcW w:type="dxa" w:w="122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MFG-C02</w:t>
            </w:r>
          </w:p>
        </w:tc>
        <w:tc>
          <w:tcPr>
            <w:tcW w:type="dxa" w:w="2376"/>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Craftek Beverages</w:t>
            </w:r>
          </w:p>
        </w:tc>
        <w:tc>
          <w:tcPr>
            <w:tcW w:type="dxa" w:w="4968"/>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Mike Bishop, Co-Owner &amp; Co-Founder, leads business development and production strategy. info@craftekbev.com | Project form. Public sales phone not verified.</w:t>
            </w:r>
          </w:p>
        </w:tc>
        <w:tc>
          <w:tcPr>
            <w:tcW w:type="dxa" w:w="168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craftekbev.com</w:t>
            </w:r>
          </w:p>
        </w:tc>
      </w:tr>
      <w:tr>
        <w:trPr>
          <w:cantSplit/>
        </w:trPr>
        <w:tc>
          <w:tcPr>
            <w:tcW w:type="dxa" w:w="122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MFG-C03</w:t>
            </w:r>
          </w:p>
        </w:tc>
        <w:tc>
          <w:tcPr>
            <w:tcW w:type="dxa" w:w="2376"/>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Genuine Local</w:t>
            </w:r>
          </w:p>
        </w:tc>
        <w:tc>
          <w:tcPr>
            <w:tcW w:type="dxa" w:w="4968"/>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Start Today / business development team. starttoday@genuinelocal.org | 603-279-8600 | Laconia, New Hampshire.</w:t>
            </w:r>
          </w:p>
        </w:tc>
        <w:tc>
          <w:tcPr>
            <w:tcW w:type="dxa" w:w="168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genuinelocal.org</w:t>
            </w:r>
          </w:p>
        </w:tc>
      </w:tr>
      <w:tr>
        <w:trPr>
          <w:cantSplit/>
        </w:trPr>
        <w:tc>
          <w:tcPr>
            <w:tcW w:type="dxa" w:w="122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MFG-C04</w:t>
            </w:r>
          </w:p>
        </w:tc>
        <w:tc>
          <w:tcPr>
            <w:tcW w:type="dxa" w:w="2376"/>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Vital Eats</w:t>
            </w:r>
          </w:p>
        </w:tc>
        <w:tc>
          <w:tcPr>
            <w:tcW w:type="dxa" w:w="4968"/>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Food co-packing inquiry team. info@vitaleats.com | Website contact page. A public sales phone was not verified in this edition.</w:t>
            </w:r>
          </w:p>
        </w:tc>
        <w:tc>
          <w:tcPr>
            <w:tcW w:type="dxa" w:w="168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vitaleats.com</w:t>
            </w:r>
          </w:p>
        </w:tc>
      </w:tr>
      <w:tr>
        <w:trPr>
          <w:cantSplit/>
        </w:trPr>
        <w:tc>
          <w:tcPr>
            <w:tcW w:type="dxa" w:w="122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MFG-C05</w:t>
            </w:r>
          </w:p>
        </w:tc>
        <w:tc>
          <w:tcPr>
            <w:tcW w:type="dxa" w:w="2376"/>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Gf Blends</w:t>
            </w:r>
          </w:p>
        </w:tc>
        <w:tc>
          <w:tcPr>
            <w:tcW w:type="dxa" w:w="4968"/>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Glen / new-project team. gcall@gfblends.com | Main: 509-375-0909 | Glen direct: 509-308-0459 | Richland, Washington.</w:t>
            </w:r>
          </w:p>
        </w:tc>
        <w:tc>
          <w:tcPr>
            <w:tcW w:type="dxa" w:w="168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gfblends.com</w:t>
            </w:r>
          </w:p>
        </w:tc>
      </w:tr>
    </w:tbl>
    <w:p>
      <w:pPr>
        <w:widowControl/>
      </w:pPr>
      <w:r>
        <w:br w:type="page"/>
      </w:r>
    </w:p>
    <w:p>
      <w:pPr>
        <w:keepNext/>
        <w:widowControl/>
        <w:spacing w:before="0" w:after="60"/>
      </w:pPr>
      <w:r>
        <w:rPr>
          <w:rFonts w:ascii="Aptos" w:hAnsi="Aptos"/>
          <w:b/>
          <w:i w:val="0"/>
          <w:color w:val="3978D7"/>
          <w:sz w:val="16"/>
        </w:rPr>
        <w:t>FULFILLMENT + FLEXIBLE WAREHOUSING</w:t>
      </w:r>
    </w:p>
    <w:p>
      <w:pPr>
        <w:keepNext/>
        <w:widowControl/>
        <w:spacing w:before="0" w:after="140" w:line="240" w:lineRule="auto"/>
      </w:pPr>
      <w:r>
        <w:rPr>
          <w:rFonts w:ascii="Aptos" w:hAnsi="Aptos"/>
          <w:b w:val="0"/>
          <w:i w:val="0"/>
          <w:color w:val="4B5563"/>
          <w:sz w:val="16"/>
        </w:rPr>
        <w:t>3PL, co-warehousing, and flexible-space routes. Validate current capacity, physical location, pricing, onboarding, SLAs, software/integration needs, and insurance requirements in writing.</w:t>
      </w:r>
    </w:p>
    <w:tbl>
      <w:tblPr>
        <w:tblW w:type="auto" w:w="0"/>
        <w:jc w:val="center"/>
        <w:tblLayout w:type="fixed"/>
        <w:tblLook w:firstColumn="1" w:firstRow="1" w:lastColumn="0" w:lastRow="0" w:noHBand="0" w:noVBand="1" w:val="04A0"/>
      </w:tblPr>
      <w:tblGrid>
        <w:gridCol w:w="2563"/>
        <w:gridCol w:w="2563"/>
        <w:gridCol w:w="2563"/>
        <w:gridCol w:w="2563"/>
      </w:tblGrid>
      <w:tr>
        <w:trPr>
          <w:tblHeader w:val="true"/>
        </w:trPr>
        <w:tc>
          <w:tcPr>
            <w:tcW w:type="dxa" w:w="1224"/>
            <w:shd w:fill="071E41" w:val="clear"/>
            <w:tcMar>
              <w:top w:w="60" w:type="dxa"/>
              <w:start w:w="65" w:type="dxa"/>
              <w:bottom w:w="60" w:type="dxa"/>
              <w:end w:w="65" w:type="dxa"/>
            </w:tcMar>
          </w:tcPr>
          <w:p>
            <w:pPr>
              <w:spacing w:before="0" w:after="0"/>
            </w:pPr>
            <w:r/>
            <w:r>
              <w:rPr>
                <w:rFonts w:ascii="Aptos" w:hAnsi="Aptos"/>
                <w:b/>
                <w:i w:val="0"/>
                <w:color w:val="FFFFFF"/>
                <w:sz w:val="13"/>
              </w:rPr>
              <w:t>ID</w:t>
            </w:r>
          </w:p>
        </w:tc>
        <w:tc>
          <w:tcPr>
            <w:tcW w:type="dxa" w:w="2376"/>
            <w:shd w:fill="071E41" w:val="clear"/>
            <w:tcMar>
              <w:top w:w="60" w:type="dxa"/>
              <w:start w:w="65" w:type="dxa"/>
              <w:bottom w:w="60" w:type="dxa"/>
              <w:end w:w="65" w:type="dxa"/>
            </w:tcMar>
          </w:tcPr>
          <w:p>
            <w:pPr>
              <w:spacing w:before="0" w:after="0"/>
            </w:pPr>
            <w:r/>
            <w:r>
              <w:rPr>
                <w:rFonts w:ascii="Aptos" w:hAnsi="Aptos"/>
                <w:b/>
                <w:i w:val="0"/>
                <w:color w:val="FFFFFF"/>
                <w:sz w:val="13"/>
              </w:rPr>
              <w:t>PARTNER</w:t>
            </w:r>
          </w:p>
        </w:tc>
        <w:tc>
          <w:tcPr>
            <w:tcW w:type="dxa" w:w="4968"/>
            <w:shd w:fill="071E41" w:val="clear"/>
            <w:tcMar>
              <w:top w:w="60" w:type="dxa"/>
              <w:start w:w="65" w:type="dxa"/>
              <w:bottom w:w="60" w:type="dxa"/>
              <w:end w:w="65" w:type="dxa"/>
            </w:tcMar>
          </w:tcPr>
          <w:p>
            <w:pPr>
              <w:spacing w:before="0" w:after="0"/>
            </w:pPr>
            <w:r/>
            <w:r>
              <w:rPr>
                <w:rFonts w:ascii="Aptos" w:hAnsi="Aptos"/>
                <w:b/>
                <w:i w:val="0"/>
                <w:color w:val="FFFFFF"/>
                <w:sz w:val="13"/>
              </w:rPr>
              <w:t>PUBLIC NEW-PROJECT ROUTE</w:t>
            </w:r>
          </w:p>
        </w:tc>
        <w:tc>
          <w:tcPr>
            <w:tcW w:type="dxa" w:w="1684"/>
            <w:shd w:fill="071E41" w:val="clear"/>
            <w:tcMar>
              <w:top w:w="60" w:type="dxa"/>
              <w:start w:w="65" w:type="dxa"/>
              <w:bottom w:w="60" w:type="dxa"/>
              <w:end w:w="65" w:type="dxa"/>
            </w:tcMar>
          </w:tcPr>
          <w:p>
            <w:pPr>
              <w:spacing w:before="0" w:after="0"/>
            </w:pPr>
            <w:r/>
            <w:r>
              <w:rPr>
                <w:rFonts w:ascii="Aptos" w:hAnsi="Aptos"/>
                <w:b/>
                <w:i w:val="0"/>
                <w:color w:val="FFFFFF"/>
                <w:sz w:val="13"/>
              </w:rPr>
              <w:t>WEBSITE</w:t>
            </w:r>
          </w:p>
        </w:tc>
      </w:tr>
      <w:tr>
        <w:trPr>
          <w:cantSplit/>
        </w:trPr>
        <w:tc>
          <w:tcPr>
            <w:tcW w:type="dxa" w:w="122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FUL-01</w:t>
            </w:r>
          </w:p>
        </w:tc>
        <w:tc>
          <w:tcPr>
            <w:tcW w:type="dxa" w:w="2376"/>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Efulfillment Service</w:t>
            </w:r>
          </w:p>
        </w:tc>
        <w:tc>
          <w:tcPr>
            <w:tcW w:type="dxa" w:w="4968"/>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Get A Quote / intake team. Phone: 1-866-922-6783. A public sales email was not displayed on the verified contact page.</w:t>
            </w:r>
          </w:p>
        </w:tc>
        <w:tc>
          <w:tcPr>
            <w:tcW w:type="dxa" w:w="168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efulfillmentservice.com</w:t>
            </w:r>
          </w:p>
        </w:tc>
      </w:tr>
      <w:tr>
        <w:trPr>
          <w:cantSplit/>
        </w:trPr>
        <w:tc>
          <w:tcPr>
            <w:tcW w:type="dxa" w:w="122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FUL-02</w:t>
            </w:r>
          </w:p>
        </w:tc>
        <w:tc>
          <w:tcPr>
            <w:tcW w:type="dxa" w:w="2376"/>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Oc3Pl</w:t>
            </w:r>
          </w:p>
        </w:tc>
        <w:tc>
          <w:tcPr>
            <w:tcW w:type="dxa" w:w="4968"/>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Fulfillment Strategist. hello@oc3pl.com | 949-424-0790 | Schedule-a-call / intake path.</w:t>
            </w:r>
          </w:p>
        </w:tc>
        <w:tc>
          <w:tcPr>
            <w:tcW w:type="dxa" w:w="168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oc3pl.com</w:t>
            </w:r>
          </w:p>
        </w:tc>
      </w:tr>
      <w:tr>
        <w:trPr>
          <w:cantSplit/>
        </w:trPr>
        <w:tc>
          <w:tcPr>
            <w:tcW w:type="dxa" w:w="122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FUL-03</w:t>
            </w:r>
          </w:p>
        </w:tc>
        <w:tc>
          <w:tcPr>
            <w:tcW w:type="dxa" w:w="2376"/>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Otw Shipping</w:t>
            </w:r>
          </w:p>
        </w:tc>
        <w:tc>
          <w:tcPr>
            <w:tcW w:type="dxa" w:w="4968"/>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New client team. team@otwshipping.com | 801-228-0245 | Salt Lake City and East Hartford operating locations.</w:t>
            </w:r>
          </w:p>
        </w:tc>
        <w:tc>
          <w:tcPr>
            <w:tcW w:type="dxa" w:w="168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otwshipping.com</w:t>
            </w:r>
          </w:p>
        </w:tc>
      </w:tr>
      <w:tr>
        <w:trPr>
          <w:cantSplit/>
        </w:trPr>
        <w:tc>
          <w:tcPr>
            <w:tcW w:type="dxa" w:w="122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FUL-04</w:t>
            </w:r>
          </w:p>
        </w:tc>
        <w:tc>
          <w:tcPr>
            <w:tcW w:type="dxa" w:w="2376"/>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Usa Fulfillment</w:t>
            </w:r>
          </w:p>
        </w:tc>
        <w:tc>
          <w:tcPr>
            <w:tcW w:type="dxa" w:w="4968"/>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Health &amp; Beauty / new-client team. info@usafill.com | 800-777-8872 | Dover, Delaware.</w:t>
            </w:r>
          </w:p>
        </w:tc>
        <w:tc>
          <w:tcPr>
            <w:tcW w:type="dxa" w:w="168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usafill.com</w:t>
            </w:r>
          </w:p>
        </w:tc>
      </w:tr>
      <w:tr>
        <w:trPr>
          <w:cantSplit/>
        </w:trPr>
        <w:tc>
          <w:tcPr>
            <w:tcW w:type="dxa" w:w="122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FUL-05</w:t>
            </w:r>
          </w:p>
        </w:tc>
        <w:tc>
          <w:tcPr>
            <w:tcW w:type="dxa" w:w="2376"/>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Shipmonk</w:t>
            </w:r>
          </w:p>
        </w:tc>
        <w:tc>
          <w:tcPr>
            <w:tcW w:type="dxa" w:w="4968"/>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Speak to an Expert / Get a Quote route. A public named sales leader, sales email, and sales phone were not verified in this edition.</w:t>
            </w:r>
          </w:p>
        </w:tc>
        <w:tc>
          <w:tcPr>
            <w:tcW w:type="dxa" w:w="168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shipmonk.com</w:t>
            </w:r>
          </w:p>
        </w:tc>
      </w:tr>
      <w:tr>
        <w:trPr>
          <w:cantSplit/>
        </w:trPr>
        <w:tc>
          <w:tcPr>
            <w:tcW w:type="dxa" w:w="122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WH-01</w:t>
            </w:r>
          </w:p>
        </w:tc>
        <w:tc>
          <w:tcPr>
            <w:tcW w:type="dxa" w:w="2376"/>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Saltbox</w:t>
            </w:r>
          </w:p>
        </w:tc>
        <w:tc>
          <w:tcPr>
            <w:tcW w:type="dxa" w:w="4968"/>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Speak to an Expert / local location inquiry on Saltbox website. A public email, phone, and named sales lead were not verified in this edition.</w:t>
            </w:r>
          </w:p>
        </w:tc>
        <w:tc>
          <w:tcPr>
            <w:tcW w:type="dxa" w:w="168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saltbox.com</w:t>
            </w:r>
          </w:p>
        </w:tc>
      </w:tr>
      <w:tr>
        <w:trPr>
          <w:cantSplit/>
        </w:trPr>
        <w:tc>
          <w:tcPr>
            <w:tcW w:type="dxa" w:w="122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WH-02</w:t>
            </w:r>
          </w:p>
        </w:tc>
        <w:tc>
          <w:tcPr>
            <w:tcW w:type="dxa" w:w="2376"/>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Readyspaces</w:t>
            </w:r>
          </w:p>
        </w:tc>
        <w:tc>
          <w:tcPr>
            <w:tcW w:type="dxa" w:w="4968"/>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Location/tour team. 801-810-2009 | Email Us / chat via ReadySpaces website. Named new-business contact not publicly identified.</w:t>
            </w:r>
          </w:p>
        </w:tc>
        <w:tc>
          <w:tcPr>
            <w:tcW w:type="dxa" w:w="168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readyspaces.com</w:t>
            </w:r>
          </w:p>
        </w:tc>
      </w:tr>
      <w:tr>
        <w:trPr>
          <w:cantSplit/>
        </w:trPr>
        <w:tc>
          <w:tcPr>
            <w:tcW w:type="dxa" w:w="122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WH-03</w:t>
            </w:r>
          </w:p>
        </w:tc>
        <w:tc>
          <w:tcPr>
            <w:tcW w:type="dxa" w:w="2376"/>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Loloft</w:t>
            </w:r>
          </w:p>
        </w:tc>
        <w:tc>
          <w:tcPr>
            <w:tcW w:type="dxa" w:w="4968"/>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New member / warehouse team. info@loloft.com | 479-208-6499 (Rogers/Bentonville) | Website tour inquiry. Verify the correct location contact.</w:t>
            </w:r>
          </w:p>
        </w:tc>
        <w:tc>
          <w:tcPr>
            <w:tcW w:type="dxa" w:w="168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loloft.com</w:t>
            </w:r>
          </w:p>
        </w:tc>
      </w:tr>
      <w:tr>
        <w:trPr>
          <w:cantSplit/>
        </w:trPr>
        <w:tc>
          <w:tcPr>
            <w:tcW w:type="dxa" w:w="122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WH-04</w:t>
            </w:r>
          </w:p>
        </w:tc>
        <w:tc>
          <w:tcPr>
            <w:tcW w:type="dxa" w:w="2376"/>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Cubework</w:t>
            </w:r>
          </w:p>
        </w:tc>
        <w:tc>
          <w:tcPr>
            <w:tcW w:type="dxa" w:w="4968"/>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Tour / space advisor. 800-338-6369 | Cubework website. General email not verified in this edition.</w:t>
            </w:r>
          </w:p>
        </w:tc>
        <w:tc>
          <w:tcPr>
            <w:tcW w:type="dxa" w:w="168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cubework.com</w:t>
            </w:r>
          </w:p>
        </w:tc>
      </w:tr>
      <w:tr>
        <w:trPr>
          <w:cantSplit/>
        </w:trPr>
        <w:tc>
          <w:tcPr>
            <w:tcW w:type="dxa" w:w="122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WH-05</w:t>
            </w:r>
          </w:p>
        </w:tc>
        <w:tc>
          <w:tcPr>
            <w:tcW w:type="dxa" w:w="2376"/>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Flexe</w:t>
            </w:r>
          </w:p>
        </w:tc>
        <w:tc>
          <w:tcPr>
            <w:tcW w:type="dxa" w:w="4968"/>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Flexible Warehousing Infrastructure team. contact@flexe.com | 855-733-7788 | Seattle, Washington.</w:t>
            </w:r>
          </w:p>
        </w:tc>
        <w:tc>
          <w:tcPr>
            <w:tcW w:type="dxa" w:w="168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flexe.com</w:t>
            </w:r>
          </w:p>
        </w:tc>
      </w:tr>
    </w:tbl>
    <w:p>
      <w:pPr>
        <w:widowControl/>
      </w:pPr>
      <w:r>
        <w:br w:type="page"/>
      </w:r>
    </w:p>
    <w:p>
      <w:pPr>
        <w:keepNext/>
        <w:widowControl/>
        <w:spacing w:before="0" w:after="60"/>
      </w:pPr>
      <w:r>
        <w:rPr>
          <w:rFonts w:ascii="Aptos" w:hAnsi="Aptos"/>
          <w:b/>
          <w:i w:val="0"/>
          <w:color w:val="3978D7"/>
          <w:sz w:val="16"/>
        </w:rPr>
        <w:t>PACKAGING</w:t>
      </w:r>
    </w:p>
    <w:p>
      <w:pPr>
        <w:keepNext/>
        <w:widowControl/>
        <w:spacing w:before="0" w:after="140" w:line="240" w:lineRule="auto"/>
      </w:pPr>
      <w:r>
        <w:rPr>
          <w:rFonts w:ascii="Aptos" w:hAnsi="Aptos"/>
          <w:b w:val="0"/>
          <w:i w:val="0"/>
          <w:color w:val="4B5563"/>
          <w:sz w:val="16"/>
        </w:rPr>
        <w:t>Custom packaging and branded box routes. Confirm material, structure, samples/proofs, artwork source of record, MOQ, production/transit schedule, freight, and reprint/claim process.</w:t>
      </w:r>
    </w:p>
    <w:tbl>
      <w:tblPr>
        <w:tblW w:type="auto" w:w="0"/>
        <w:jc w:val="center"/>
        <w:tblLayout w:type="fixed"/>
        <w:tblLook w:firstColumn="1" w:firstRow="1" w:lastColumn="0" w:lastRow="0" w:noHBand="0" w:noVBand="1" w:val="04A0"/>
      </w:tblPr>
      <w:tblGrid>
        <w:gridCol w:w="2563"/>
        <w:gridCol w:w="2563"/>
        <w:gridCol w:w="2563"/>
        <w:gridCol w:w="2563"/>
      </w:tblGrid>
      <w:tr>
        <w:trPr>
          <w:tblHeader w:val="true"/>
        </w:trPr>
        <w:tc>
          <w:tcPr>
            <w:tcW w:type="dxa" w:w="1224"/>
            <w:shd w:fill="071E41" w:val="clear"/>
            <w:tcMar>
              <w:top w:w="60" w:type="dxa"/>
              <w:start w:w="65" w:type="dxa"/>
              <w:bottom w:w="60" w:type="dxa"/>
              <w:end w:w="65" w:type="dxa"/>
            </w:tcMar>
          </w:tcPr>
          <w:p>
            <w:pPr>
              <w:spacing w:before="0" w:after="0"/>
            </w:pPr>
            <w:r/>
            <w:r>
              <w:rPr>
                <w:rFonts w:ascii="Aptos" w:hAnsi="Aptos"/>
                <w:b/>
                <w:i w:val="0"/>
                <w:color w:val="FFFFFF"/>
                <w:sz w:val="13"/>
              </w:rPr>
              <w:t>ID</w:t>
            </w:r>
          </w:p>
        </w:tc>
        <w:tc>
          <w:tcPr>
            <w:tcW w:type="dxa" w:w="2376"/>
            <w:shd w:fill="071E41" w:val="clear"/>
            <w:tcMar>
              <w:top w:w="60" w:type="dxa"/>
              <w:start w:w="65" w:type="dxa"/>
              <w:bottom w:w="60" w:type="dxa"/>
              <w:end w:w="65" w:type="dxa"/>
            </w:tcMar>
          </w:tcPr>
          <w:p>
            <w:pPr>
              <w:spacing w:before="0" w:after="0"/>
            </w:pPr>
            <w:r/>
            <w:r>
              <w:rPr>
                <w:rFonts w:ascii="Aptos" w:hAnsi="Aptos"/>
                <w:b/>
                <w:i w:val="0"/>
                <w:color w:val="FFFFFF"/>
                <w:sz w:val="13"/>
              </w:rPr>
              <w:t>PARTNER</w:t>
            </w:r>
          </w:p>
        </w:tc>
        <w:tc>
          <w:tcPr>
            <w:tcW w:type="dxa" w:w="4968"/>
            <w:shd w:fill="071E41" w:val="clear"/>
            <w:tcMar>
              <w:top w:w="60" w:type="dxa"/>
              <w:start w:w="65" w:type="dxa"/>
              <w:bottom w:w="60" w:type="dxa"/>
              <w:end w:w="65" w:type="dxa"/>
            </w:tcMar>
          </w:tcPr>
          <w:p>
            <w:pPr>
              <w:spacing w:before="0" w:after="0"/>
            </w:pPr>
            <w:r/>
            <w:r>
              <w:rPr>
                <w:rFonts w:ascii="Aptos" w:hAnsi="Aptos"/>
                <w:b/>
                <w:i w:val="0"/>
                <w:color w:val="FFFFFF"/>
                <w:sz w:val="13"/>
              </w:rPr>
              <w:t>PUBLIC NEW-PROJECT ROUTE</w:t>
            </w:r>
          </w:p>
        </w:tc>
        <w:tc>
          <w:tcPr>
            <w:tcW w:type="dxa" w:w="1684"/>
            <w:shd w:fill="071E41" w:val="clear"/>
            <w:tcMar>
              <w:top w:w="60" w:type="dxa"/>
              <w:start w:w="65" w:type="dxa"/>
              <w:bottom w:w="60" w:type="dxa"/>
              <w:end w:w="65" w:type="dxa"/>
            </w:tcMar>
          </w:tcPr>
          <w:p>
            <w:pPr>
              <w:spacing w:before="0" w:after="0"/>
            </w:pPr>
            <w:r/>
            <w:r>
              <w:rPr>
                <w:rFonts w:ascii="Aptos" w:hAnsi="Aptos"/>
                <w:b/>
                <w:i w:val="0"/>
                <w:color w:val="FFFFFF"/>
                <w:sz w:val="13"/>
              </w:rPr>
              <w:t>WEBSITE</w:t>
            </w:r>
          </w:p>
        </w:tc>
      </w:tr>
      <w:tr>
        <w:trPr>
          <w:cantSplit/>
        </w:trPr>
        <w:tc>
          <w:tcPr>
            <w:tcW w:type="dxa" w:w="122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PKG-01</w:t>
            </w:r>
          </w:p>
        </w:tc>
        <w:tc>
          <w:tcPr>
            <w:tcW w:type="dxa" w:w="2376"/>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Packlane</w:t>
            </w:r>
          </w:p>
        </w:tc>
        <w:tc>
          <w:tcPr>
            <w:tcW w:type="dxa" w:w="4968"/>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Packaging support / custom quote team. contact@packlane.com | 877-508-1227 | Prepress: prepress@packlane.com.</w:t>
            </w:r>
          </w:p>
        </w:tc>
        <w:tc>
          <w:tcPr>
            <w:tcW w:type="dxa" w:w="168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packlane.com</w:t>
            </w:r>
          </w:p>
        </w:tc>
      </w:tr>
      <w:tr>
        <w:trPr>
          <w:cantSplit/>
        </w:trPr>
        <w:tc>
          <w:tcPr>
            <w:tcW w:type="dxa" w:w="122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PKG-02</w:t>
            </w:r>
          </w:p>
        </w:tc>
        <w:tc>
          <w:tcPr>
            <w:tcW w:type="dxa" w:w="2376"/>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Pakfactory</w:t>
            </w:r>
          </w:p>
        </w:tc>
        <w:tc>
          <w:tcPr>
            <w:tcW w:type="dxa" w:w="4968"/>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Product specialists / sales inquiries. quote@pakfactory.com | 1-888-622-2819 | Monday-Friday, 9:30 a.m.-6:30 p.m. EST.</w:t>
            </w:r>
          </w:p>
        </w:tc>
        <w:tc>
          <w:tcPr>
            <w:tcW w:type="dxa" w:w="168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pakfactory.com</w:t>
            </w:r>
          </w:p>
        </w:tc>
      </w:tr>
      <w:tr>
        <w:trPr>
          <w:cantSplit/>
        </w:trPr>
        <w:tc>
          <w:tcPr>
            <w:tcW w:type="dxa" w:w="122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PKG-03</w:t>
            </w:r>
          </w:p>
        </w:tc>
        <w:tc>
          <w:tcPr>
            <w:tcW w:type="dxa" w:w="2376"/>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Empress Packaging</w:t>
            </w:r>
          </w:p>
        </w:tc>
        <w:tc>
          <w:tcPr>
            <w:tcW w:type="dxa" w:w="4968"/>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Customer service / sales team. query@empresspackaging.com | 888-900-7629.</w:t>
            </w:r>
          </w:p>
        </w:tc>
        <w:tc>
          <w:tcPr>
            <w:tcW w:type="dxa" w:w="168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empresspackaging.com</w:t>
            </w:r>
          </w:p>
        </w:tc>
      </w:tr>
      <w:tr>
        <w:trPr>
          <w:cantSplit/>
        </w:trPr>
        <w:tc>
          <w:tcPr>
            <w:tcW w:type="dxa" w:w="122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PKG-04</w:t>
            </w:r>
          </w:p>
        </w:tc>
        <w:tc>
          <w:tcPr>
            <w:tcW w:type="dxa" w:w="2376"/>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Refine Packaging</w:t>
            </w:r>
          </w:p>
        </w:tc>
        <w:tc>
          <w:tcPr>
            <w:tcW w:type="dxa" w:w="4968"/>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Sales / custom packaging specialist. 1-800-725-9660 | live chat / online quote form. Public sales email was not verified in this edition.</w:t>
            </w:r>
          </w:p>
        </w:tc>
        <w:tc>
          <w:tcPr>
            <w:tcW w:type="dxa" w:w="1684"/>
            <w:shd w:fill="F5F8FC"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refinepackaging.com</w:t>
            </w:r>
          </w:p>
        </w:tc>
      </w:tr>
      <w:tr>
        <w:trPr>
          <w:cantSplit/>
        </w:trPr>
        <w:tc>
          <w:tcPr>
            <w:tcW w:type="dxa" w:w="122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i w:val="0"/>
                <w:color w:val="0B2D57"/>
                <w:sz w:val="13"/>
              </w:rPr>
              <w:t>PKG-05</w:t>
            </w:r>
          </w:p>
        </w:tc>
        <w:tc>
          <w:tcPr>
            <w:tcW w:type="dxa" w:w="2376"/>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Packmojo</w:t>
            </w:r>
          </w:p>
        </w:tc>
        <w:tc>
          <w:tcPr>
            <w:tcW w:type="dxa" w:w="4968"/>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2"/>
              </w:rPr>
              <w:t>Get a Quote / contact team via PackMojo website. A public sales email and phone were not verified in this edition.</w:t>
            </w:r>
          </w:p>
        </w:tc>
        <w:tc>
          <w:tcPr>
            <w:tcW w:type="dxa" w:w="1684"/>
            <w:shd w:fill="FFFFFF" w:val="clear"/>
            <w:tcBorders>
              <w:bottom w:val="single" w:sz="3" w:color="D7DEE8"/>
            </w:tcBorders>
            <w:tcMar>
              <w:top w:w="55" w:type="dxa"/>
              <w:start w:w="65" w:type="dxa"/>
              <w:bottom w:w="55" w:type="dxa"/>
              <w:end w:w="65" w:type="dxa"/>
            </w:tcMar>
          </w:tcPr>
          <w:p>
            <w:pPr>
              <w:keepLines/>
              <w:spacing w:before="0" w:after="0" w:line="223" w:lineRule="auto"/>
            </w:pPr>
            <w:r/>
            <w:r>
              <w:rPr>
                <w:rFonts w:ascii="Aptos" w:hAnsi="Aptos"/>
                <w:b w:val="0"/>
                <w:i w:val="0"/>
                <w:color w:val="1E2730"/>
                <w:sz w:val="13"/>
              </w:rPr>
              <w:t>packmojo.com</w:t>
            </w:r>
          </w:p>
        </w:tc>
      </w:tr>
    </w:tbl>
    <w:p>
      <w:pPr>
        <w:keepNext/>
        <w:widowControl/>
        <w:spacing w:before="0" w:after="60"/>
      </w:pPr>
      <w:r>
        <w:rPr>
          <w:rFonts w:ascii="Aptos" w:hAnsi="Aptos"/>
          <w:b/>
          <w:i w:val="0"/>
          <w:color w:val="3978D7"/>
          <w:sz w:val="16"/>
        </w:rPr>
        <w:t>APPENDIX B | SOURCE + VERIFICATION NOTES</w:t>
      </w:r>
    </w:p>
    <w:p>
      <w:pPr>
        <w:keepNext/>
        <w:widowControl/>
        <w:spacing w:before="0" w:after="80"/>
      </w:pPr>
      <w:r>
        <w:rPr>
          <w:rFonts w:ascii="Aptos Display" w:hAnsi="Aptos Display"/>
          <w:b/>
          <w:i w:val="0"/>
          <w:color w:val="071E41"/>
          <w:sz w:val="40"/>
        </w:rPr>
        <w:t>Use Public Signals as a Starting Point</w:t>
      </w:r>
    </w:p>
    <w:p>
      <w:pPr>
        <w:keepNext/>
        <w:widowControl/>
        <w:spacing w:before="0" w:after="200" w:line="252" w:lineRule="auto"/>
      </w:pPr>
      <w:r>
        <w:rPr>
          <w:rFonts w:ascii="Aptos" w:hAnsi="Aptos"/>
          <w:b w:val="0"/>
          <w:i w:val="0"/>
          <w:color w:val="4B5563"/>
          <w:sz w:val="17"/>
        </w:rPr>
        <w:t>The directory is designed to make research easier and founder outreach more informed. It is not a substitute for a written quote, SOW, specification, credit application, or commercial agreement.</w:t>
      </w:r>
    </w:p>
    <w:tbl>
      <w:tblPr>
        <w:tblW w:type="auto" w:w="0"/>
        <w:jc w:val="center"/>
        <w:tblLayout w:type="fixed"/>
        <w:tblLook w:firstColumn="1" w:firstRow="1" w:lastColumn="0" w:lastRow="0" w:noHBand="0" w:noVBand="1" w:val="04A0"/>
      </w:tblPr>
      <w:tblGrid>
        <w:gridCol w:w="5126"/>
        <w:gridCol w:w="5126"/>
      </w:tblGrid>
      <w:tr>
        <w:trPr>
          <w:tblHeader w:val="true"/>
        </w:trPr>
        <w:tc>
          <w:tcPr>
            <w:tcW w:type="dxa" w:w="2232"/>
            <w:shd w:fill="071E41" w:val="clear"/>
            <w:tcMar>
              <w:top w:w="75" w:type="dxa"/>
              <w:start w:w="90" w:type="dxa"/>
              <w:bottom w:w="75" w:type="dxa"/>
              <w:end w:w="90" w:type="dxa"/>
            </w:tcMar>
          </w:tcPr>
          <w:p>
            <w:pPr>
              <w:spacing w:before="0" w:after="0"/>
            </w:pPr>
            <w:r/>
            <w:r>
              <w:rPr>
                <w:rFonts w:ascii="Aptos" w:hAnsi="Aptos"/>
                <w:b/>
                <w:i w:val="0"/>
                <w:color w:val="FFFFFF"/>
                <w:sz w:val="15"/>
              </w:rPr>
              <w:t>CONTROL AREA</w:t>
            </w:r>
          </w:p>
        </w:tc>
        <w:tc>
          <w:tcPr>
            <w:tcW w:type="dxa" w:w="8020"/>
            <w:shd w:fill="071E41" w:val="clear"/>
            <w:tcMar>
              <w:top w:w="75" w:type="dxa"/>
              <w:start w:w="90" w:type="dxa"/>
              <w:bottom w:w="75" w:type="dxa"/>
              <w:end w:w="90" w:type="dxa"/>
            </w:tcMar>
          </w:tcPr>
          <w:p>
            <w:pPr>
              <w:spacing w:before="0" w:after="0"/>
            </w:pPr>
            <w:r/>
            <w:r>
              <w:rPr>
                <w:rFonts w:ascii="Aptos" w:hAnsi="Aptos"/>
                <w:b/>
                <w:i w:val="0"/>
                <w:color w:val="FFFFFF"/>
                <w:sz w:val="15"/>
              </w:rPr>
              <w:t>CURRENT OPERATING STANDARD</w:t>
            </w:r>
          </w:p>
        </w:tc>
      </w:tr>
      <w:tr>
        <w:trPr>
          <w:cantSplit/>
        </w:trPr>
        <w:tc>
          <w:tcPr>
            <w:tcW w:type="dxa" w:w="2232"/>
            <w:shd w:fill="FFFFFF" w:val="clear"/>
            <w:tcBorders>
              <w:bottom w:val="single" w:sz="3" w:color="D7DEE8"/>
            </w:tcBorders>
            <w:tcMar>
              <w:top w:w="85" w:type="dxa"/>
              <w:start w:w="90" w:type="dxa"/>
              <w:bottom w:w="85" w:type="dxa"/>
              <w:end w:w="90" w:type="dxa"/>
            </w:tcMar>
          </w:tcPr>
          <w:p>
            <w:pPr>
              <w:keepLines/>
              <w:spacing w:before="0" w:after="0"/>
            </w:pPr>
            <w:r/>
            <w:r>
              <w:rPr>
                <w:rFonts w:ascii="Aptos" w:hAnsi="Aptos"/>
                <w:b/>
                <w:i w:val="0"/>
                <w:color w:val="0B2D57"/>
                <w:sz w:val="16"/>
              </w:rPr>
              <w:t>Beauty + personal care</w:t>
            </w:r>
          </w:p>
        </w:tc>
        <w:tc>
          <w:tcPr>
            <w:tcW w:type="dxa" w:w="8020"/>
            <w:shd w:fill="FFFFFF" w:val="clear"/>
            <w:tcBorders>
              <w:bottom w:val="single" w:sz="3" w:color="D7DEE8"/>
            </w:tcBorders>
            <w:tcMar>
              <w:top w:w="85" w:type="dxa"/>
              <w:start w:w="90" w:type="dxa"/>
              <w:bottom w:w="85" w:type="dxa"/>
              <w:end w:w="90" w:type="dxa"/>
            </w:tcMar>
          </w:tcPr>
          <w:p>
            <w:pPr>
              <w:keepLines/>
              <w:spacing w:before="0" w:after="0" w:line="240" w:lineRule="auto"/>
            </w:pPr>
            <w:r/>
            <w:r>
              <w:rPr>
                <w:rFonts w:ascii="Aptos" w:hAnsi="Aptos"/>
                <w:b w:val="0"/>
                <w:i w:val="0"/>
                <w:color w:val="1E2730"/>
                <w:sz w:val="16"/>
              </w:rPr>
              <w:t>DLAB Custom Cosmetics: contact/customization page; Compounding Cosmetics: contact/FAQ; Tropical Labs: homepage/process; NOESIS: MOQ and formulation FAQ; Formyoule: small-batch and contact pages.</w:t>
            </w:r>
          </w:p>
        </w:tc>
      </w:tr>
      <w:tr>
        <w:trPr>
          <w:cantSplit/>
        </w:trPr>
        <w:tc>
          <w:tcPr>
            <w:tcW w:type="dxa" w:w="2232"/>
            <w:shd w:fill="F5F8FC" w:val="clear"/>
            <w:tcBorders>
              <w:bottom w:val="single" w:sz="3" w:color="D7DEE8"/>
            </w:tcBorders>
            <w:tcMar>
              <w:top w:w="85" w:type="dxa"/>
              <w:start w:w="90" w:type="dxa"/>
              <w:bottom w:w="85" w:type="dxa"/>
              <w:end w:w="90" w:type="dxa"/>
            </w:tcMar>
          </w:tcPr>
          <w:p>
            <w:pPr>
              <w:keepLines/>
              <w:spacing w:before="0" w:after="0"/>
            </w:pPr>
            <w:r/>
            <w:r>
              <w:rPr>
                <w:rFonts w:ascii="Aptos" w:hAnsi="Aptos"/>
                <w:b/>
                <w:i w:val="0"/>
                <w:color w:val="0B2D57"/>
                <w:sz w:val="16"/>
              </w:rPr>
              <w:t>Beverage + food</w:t>
            </w:r>
          </w:p>
        </w:tc>
        <w:tc>
          <w:tcPr>
            <w:tcW w:type="dxa" w:w="8020"/>
            <w:shd w:fill="F5F8FC" w:val="clear"/>
            <w:tcBorders>
              <w:bottom w:val="single" w:sz="3" w:color="D7DEE8"/>
            </w:tcBorders>
            <w:tcMar>
              <w:top w:w="85" w:type="dxa"/>
              <w:start w:w="90" w:type="dxa"/>
              <w:bottom w:w="85" w:type="dxa"/>
              <w:end w:w="90" w:type="dxa"/>
            </w:tcMar>
          </w:tcPr>
          <w:p>
            <w:pPr>
              <w:keepLines/>
              <w:spacing w:before="0" w:after="0" w:line="240" w:lineRule="auto"/>
            </w:pPr>
            <w:r/>
            <w:r>
              <w:rPr>
                <w:rFonts w:ascii="Aptos" w:hAnsi="Aptos"/>
                <w:b w:val="0"/>
                <w:i w:val="0"/>
                <w:color w:val="1E2730"/>
                <w:sz w:val="16"/>
              </w:rPr>
              <w:t>ProtoPackers: capabilities and contact pages; Craftek Beverages: team/contact pages; Genuine Local: contract manufacturing page; Vital Eats: co-packing FAQ; GF Blends: FAQs and contact page.</w:t>
            </w:r>
          </w:p>
        </w:tc>
      </w:tr>
      <w:tr>
        <w:trPr>
          <w:cantSplit/>
        </w:trPr>
        <w:tc>
          <w:tcPr>
            <w:tcW w:type="dxa" w:w="2232"/>
            <w:shd w:fill="FFFFFF" w:val="clear"/>
            <w:tcBorders>
              <w:bottom w:val="single" w:sz="3" w:color="D7DEE8"/>
            </w:tcBorders>
            <w:tcMar>
              <w:top w:w="85" w:type="dxa"/>
              <w:start w:w="90" w:type="dxa"/>
              <w:bottom w:w="85" w:type="dxa"/>
              <w:end w:w="90" w:type="dxa"/>
            </w:tcMar>
          </w:tcPr>
          <w:p>
            <w:pPr>
              <w:keepLines/>
              <w:spacing w:before="0" w:after="0"/>
            </w:pPr>
            <w:r/>
            <w:r>
              <w:rPr>
                <w:rFonts w:ascii="Aptos" w:hAnsi="Aptos"/>
                <w:b/>
                <w:i w:val="0"/>
                <w:color w:val="0B2D57"/>
                <w:sz w:val="16"/>
              </w:rPr>
              <w:t>3PL + fulfillment</w:t>
            </w:r>
          </w:p>
        </w:tc>
        <w:tc>
          <w:tcPr>
            <w:tcW w:type="dxa" w:w="8020"/>
            <w:shd w:fill="FFFFFF" w:val="clear"/>
            <w:tcBorders>
              <w:bottom w:val="single" w:sz="3" w:color="D7DEE8"/>
            </w:tcBorders>
            <w:tcMar>
              <w:top w:w="85" w:type="dxa"/>
              <w:start w:w="90" w:type="dxa"/>
              <w:bottom w:w="85" w:type="dxa"/>
              <w:end w:w="90" w:type="dxa"/>
            </w:tcMar>
          </w:tcPr>
          <w:p>
            <w:pPr>
              <w:keepLines/>
              <w:spacing w:before="0" w:after="0" w:line="240" w:lineRule="auto"/>
            </w:pPr>
            <w:r/>
            <w:r>
              <w:rPr>
                <w:rFonts w:ascii="Aptos" w:hAnsi="Aptos"/>
                <w:b w:val="0"/>
                <w:i w:val="0"/>
                <w:color w:val="1E2730"/>
                <w:sz w:val="16"/>
              </w:rPr>
              <w:t>eFulfillment Service: homepage, services, contact; OC3PL: startup/ecommerce/kitting pages; OTW Shipping: public service/pricing pages; USA Fulfillment: health/beauty and contact pages; ShipMonk: quote/contact pages.</w:t>
            </w:r>
          </w:p>
        </w:tc>
      </w:tr>
      <w:tr>
        <w:trPr>
          <w:cantSplit/>
        </w:trPr>
        <w:tc>
          <w:tcPr>
            <w:tcW w:type="dxa" w:w="2232"/>
            <w:shd w:fill="F5F8FC" w:val="clear"/>
            <w:tcBorders>
              <w:bottom w:val="single" w:sz="3" w:color="D7DEE8"/>
            </w:tcBorders>
            <w:tcMar>
              <w:top w:w="85" w:type="dxa"/>
              <w:start w:w="90" w:type="dxa"/>
              <w:bottom w:w="85" w:type="dxa"/>
              <w:end w:w="90" w:type="dxa"/>
            </w:tcMar>
          </w:tcPr>
          <w:p>
            <w:pPr>
              <w:keepLines/>
              <w:spacing w:before="0" w:after="0"/>
            </w:pPr>
            <w:r/>
            <w:r>
              <w:rPr>
                <w:rFonts w:ascii="Aptos" w:hAnsi="Aptos"/>
                <w:b/>
                <w:i w:val="0"/>
                <w:color w:val="0B2D57"/>
                <w:sz w:val="16"/>
              </w:rPr>
              <w:t>Warehouse + co-warehousing</w:t>
            </w:r>
          </w:p>
        </w:tc>
        <w:tc>
          <w:tcPr>
            <w:tcW w:type="dxa" w:w="8020"/>
            <w:shd w:fill="F5F8FC" w:val="clear"/>
            <w:tcBorders>
              <w:bottom w:val="single" w:sz="3" w:color="D7DEE8"/>
            </w:tcBorders>
            <w:tcMar>
              <w:top w:w="85" w:type="dxa"/>
              <w:start w:w="90" w:type="dxa"/>
              <w:bottom w:w="85" w:type="dxa"/>
              <w:end w:w="90" w:type="dxa"/>
            </w:tcMar>
          </w:tcPr>
          <w:p>
            <w:pPr>
              <w:keepLines/>
              <w:spacing w:before="0" w:after="0" w:line="240" w:lineRule="auto"/>
            </w:pPr>
            <w:r/>
            <w:r>
              <w:rPr>
                <w:rFonts w:ascii="Aptos" w:hAnsi="Aptos"/>
                <w:b w:val="0"/>
                <w:i w:val="0"/>
                <w:color w:val="1E2730"/>
                <w:sz w:val="16"/>
              </w:rPr>
              <w:t>Saltbox: pricing/flexible-space pages; ReadySpaces: home/location/use-case pages; Loloft: warehouse/location pages; Cubework: industry pages; Flexe: contact and flexible-warehouse pages.</w:t>
            </w:r>
          </w:p>
        </w:tc>
      </w:tr>
      <w:tr>
        <w:trPr>
          <w:cantSplit/>
        </w:trPr>
        <w:tc>
          <w:tcPr>
            <w:tcW w:type="dxa" w:w="2232"/>
            <w:shd w:fill="FFFFFF" w:val="clear"/>
            <w:tcBorders>
              <w:bottom w:val="single" w:sz="3" w:color="D7DEE8"/>
            </w:tcBorders>
            <w:tcMar>
              <w:top w:w="85" w:type="dxa"/>
              <w:start w:w="90" w:type="dxa"/>
              <w:bottom w:w="85" w:type="dxa"/>
              <w:end w:w="90" w:type="dxa"/>
            </w:tcMar>
          </w:tcPr>
          <w:p>
            <w:pPr>
              <w:keepLines/>
              <w:spacing w:before="0" w:after="0"/>
            </w:pPr>
            <w:r/>
            <w:r>
              <w:rPr>
                <w:rFonts w:ascii="Aptos" w:hAnsi="Aptos"/>
                <w:b/>
                <w:i w:val="0"/>
                <w:color w:val="0B2D57"/>
                <w:sz w:val="16"/>
              </w:rPr>
              <w:t>Packaging</w:t>
            </w:r>
          </w:p>
        </w:tc>
        <w:tc>
          <w:tcPr>
            <w:tcW w:type="dxa" w:w="8020"/>
            <w:shd w:fill="FFFFFF" w:val="clear"/>
            <w:tcBorders>
              <w:bottom w:val="single" w:sz="3" w:color="D7DEE8"/>
            </w:tcBorders>
            <w:tcMar>
              <w:top w:w="85" w:type="dxa"/>
              <w:start w:w="90" w:type="dxa"/>
              <w:bottom w:w="85" w:type="dxa"/>
              <w:end w:w="90" w:type="dxa"/>
            </w:tcMar>
          </w:tcPr>
          <w:p>
            <w:pPr>
              <w:keepLines/>
              <w:spacing w:before="0" w:after="0" w:line="240" w:lineRule="auto"/>
            </w:pPr>
            <w:r/>
            <w:r>
              <w:rPr>
                <w:rFonts w:ascii="Aptos" w:hAnsi="Aptos"/>
                <w:b w:val="0"/>
                <w:i w:val="0"/>
                <w:color w:val="1E2730"/>
                <w:sz w:val="16"/>
              </w:rPr>
              <w:t>Packlane: contact/FAQ; PakFactory: contact page; Empress Packaging: FAQ/contact; Refine Packaging: FAQ and custom-product pages; PackMojo: contact and custom-packaging product pages.</w:t>
            </w:r>
          </w:p>
        </w:tc>
      </w:tr>
    </w:tbl>
    <w:tbl>
      <w:tblPr>
        <w:tblW w:type="auto" w:w="0"/>
        <w:jc w:val="center"/>
        <w:tblLayout w:type="fixed"/>
        <w:tblLook w:firstColumn="1" w:firstRow="1" w:lastColumn="0" w:lastRow="0" w:noHBand="0" w:noVBand="1" w:val="04A0"/>
      </w:tblPr>
      <w:tblGrid>
        <w:gridCol w:w="10252"/>
      </w:tblGrid>
      <w:tr>
        <w:tc>
          <w:tcPr>
            <w:tcW w:type="dxa" w:w="10252"/>
            <w:shd w:fill="FFF5E7" w:val="clear"/>
            <w:tcBorders>
              <w:top w:val="single" w:sz="10" w:color="C89B2C"/>
              <w:left w:val="single" w:sz="10" w:color="C89B2C"/>
              <w:bottom w:val="single" w:sz="10" w:color="C89B2C"/>
              <w:right w:val="single" w:sz="10" w:color="C89B2C"/>
            </w:tcBorders>
            <w:tcMar>
              <w:top w:w="110" w:type="dxa"/>
              <w:start w:w="130" w:type="dxa"/>
              <w:bottom w:w="110" w:type="dxa"/>
              <w:end w:w="130" w:type="dxa"/>
            </w:tcMar>
          </w:tcPr>
          <w:p>
            <w:pPr>
              <w:keepLines/>
              <w:spacing w:before="0" w:after="40"/>
            </w:pPr>
            <w:r/>
            <w:r>
              <w:rPr>
                <w:rFonts w:ascii="Aptos" w:hAnsi="Aptos"/>
                <w:b/>
                <w:i w:val="0"/>
                <w:color w:val="C89B2C"/>
                <w:sz w:val="16"/>
              </w:rPr>
              <w:t>VERIFICATION INSTRUCTION</w:t>
            </w:r>
          </w:p>
          <w:p>
            <w:pPr>
              <w:keepLines/>
              <w:spacing w:before="0" w:after="0" w:line="247" w:lineRule="auto"/>
            </w:pPr>
            <w:r>
              <w:rPr>
                <w:rFonts w:ascii="Aptos" w:hAnsi="Aptos"/>
                <w:b w:val="0"/>
                <w:i w:val="0"/>
                <w:color w:val="1E2730"/>
                <w:sz w:val="17"/>
              </w:rPr>
              <w:t>Before making a financial or contractual commitment, verify the exact product/service fit, quote, MOQ, material availability, timing, payment/credit structure, insurance, compliance, and contact route directly with the company. Treat public claims as a starting signal, not a binding promise.</w:t>
            </w:r>
          </w:p>
        </w:tc>
      </w:tr>
    </w:tbl>
    <w:p>
      <w:pPr>
        <w:widowControl/>
        <w:spacing w:after="40"/>
      </w:pPr>
    </w:p>
    <w:p>
      <w:pPr>
        <w:widowControl/>
      </w:pPr>
      <w:r>
        <w:br w:type="page"/>
      </w:r>
    </w:p>
    <w:p>
      <w:pPr>
        <w:keepNext/>
        <w:widowControl/>
        <w:spacing w:before="0" w:after="60"/>
      </w:pPr>
      <w:r>
        <w:rPr>
          <w:rFonts w:ascii="Aptos" w:hAnsi="Aptos"/>
          <w:b/>
          <w:i w:val="0"/>
          <w:color w:val="3978D7"/>
          <w:sz w:val="16"/>
        </w:rPr>
        <w:t>DEFINITIONS FOUNDERS WILL SEE REPEATEDLY</w:t>
      </w:r>
    </w:p>
    <w:tbl>
      <w:tblPr>
        <w:tblW w:type="auto" w:w="0"/>
        <w:jc w:val="center"/>
        <w:tblLayout w:type="fixed"/>
        <w:tblLook w:firstColumn="1" w:firstRow="1" w:lastColumn="0" w:lastRow="0" w:noHBand="0" w:noVBand="1" w:val="04A0"/>
      </w:tblPr>
      <w:tblGrid>
        <w:gridCol w:w="5126"/>
        <w:gridCol w:w="5126"/>
      </w:tblGrid>
      <w:tr>
        <w:trPr>
          <w:tblHeader w:val="true"/>
        </w:trPr>
        <w:tc>
          <w:tcPr>
            <w:tcW w:type="dxa" w:w="2232"/>
            <w:shd w:fill="071E41" w:val="clear"/>
            <w:tcMar>
              <w:top w:w="75" w:type="dxa"/>
              <w:start w:w="90" w:type="dxa"/>
              <w:bottom w:w="75" w:type="dxa"/>
              <w:end w:w="90" w:type="dxa"/>
            </w:tcMar>
          </w:tcPr>
          <w:p>
            <w:pPr>
              <w:spacing w:before="0" w:after="0"/>
            </w:pPr>
            <w:r/>
            <w:r>
              <w:rPr>
                <w:rFonts w:ascii="Aptos" w:hAnsi="Aptos"/>
                <w:b/>
                <w:i w:val="0"/>
                <w:color w:val="FFFFFF"/>
                <w:sz w:val="15"/>
              </w:rPr>
              <w:t>CONTROL AREA</w:t>
            </w:r>
          </w:p>
        </w:tc>
        <w:tc>
          <w:tcPr>
            <w:tcW w:type="dxa" w:w="8020"/>
            <w:shd w:fill="071E41" w:val="clear"/>
            <w:tcMar>
              <w:top w:w="75" w:type="dxa"/>
              <w:start w:w="90" w:type="dxa"/>
              <w:bottom w:w="75" w:type="dxa"/>
              <w:end w:w="90" w:type="dxa"/>
            </w:tcMar>
          </w:tcPr>
          <w:p>
            <w:pPr>
              <w:spacing w:before="0" w:after="0"/>
            </w:pPr>
            <w:r/>
            <w:r>
              <w:rPr>
                <w:rFonts w:ascii="Aptos" w:hAnsi="Aptos"/>
                <w:b/>
                <w:i w:val="0"/>
                <w:color w:val="FFFFFF"/>
                <w:sz w:val="15"/>
              </w:rPr>
              <w:t>CURRENT OPERATING STANDARD</w:t>
            </w:r>
          </w:p>
        </w:tc>
      </w:tr>
      <w:tr>
        <w:trPr>
          <w:cantSplit/>
        </w:trPr>
        <w:tc>
          <w:tcPr>
            <w:tcW w:type="dxa" w:w="2232"/>
            <w:shd w:fill="FFFFFF" w:val="clear"/>
            <w:tcBorders>
              <w:bottom w:val="single" w:sz="3" w:color="D7DEE8"/>
            </w:tcBorders>
            <w:tcMar>
              <w:top w:w="85" w:type="dxa"/>
              <w:start w:w="90" w:type="dxa"/>
              <w:bottom w:w="85" w:type="dxa"/>
              <w:end w:w="90" w:type="dxa"/>
            </w:tcMar>
          </w:tcPr>
          <w:p>
            <w:pPr>
              <w:keepLines/>
              <w:spacing w:before="0" w:after="0"/>
            </w:pPr>
            <w:r/>
            <w:r>
              <w:rPr>
                <w:rFonts w:ascii="Aptos" w:hAnsi="Aptos"/>
                <w:b/>
                <w:i w:val="0"/>
                <w:color w:val="0B2D57"/>
                <w:sz w:val="16"/>
              </w:rPr>
              <w:t>MOQ</w:t>
            </w:r>
          </w:p>
        </w:tc>
        <w:tc>
          <w:tcPr>
            <w:tcW w:type="dxa" w:w="8020"/>
            <w:shd w:fill="FFFFFF" w:val="clear"/>
            <w:tcBorders>
              <w:bottom w:val="single" w:sz="3" w:color="D7DEE8"/>
            </w:tcBorders>
            <w:tcMar>
              <w:top w:w="85" w:type="dxa"/>
              <w:start w:w="90" w:type="dxa"/>
              <w:bottom w:w="85" w:type="dxa"/>
              <w:end w:w="90" w:type="dxa"/>
            </w:tcMar>
          </w:tcPr>
          <w:p>
            <w:pPr>
              <w:keepLines/>
              <w:spacing w:before="0" w:after="0" w:line="240" w:lineRule="auto"/>
            </w:pPr>
            <w:r/>
            <w:r>
              <w:rPr>
                <w:rFonts w:ascii="Aptos" w:hAnsi="Aptos"/>
                <w:b w:val="0"/>
                <w:i w:val="0"/>
                <w:color w:val="1E2730"/>
                <w:sz w:val="16"/>
              </w:rPr>
              <w:t>Minimum order quantity. It can apply to a SKU, formula, label, color, packaging component, case, pallet, batch, or service fee - not just finished unit count.</w:t>
            </w:r>
          </w:p>
        </w:tc>
      </w:tr>
      <w:tr>
        <w:trPr>
          <w:cantSplit/>
        </w:trPr>
        <w:tc>
          <w:tcPr>
            <w:tcW w:type="dxa" w:w="2232"/>
            <w:shd w:fill="F5F8FC" w:val="clear"/>
            <w:tcBorders>
              <w:bottom w:val="single" w:sz="3" w:color="D7DEE8"/>
            </w:tcBorders>
            <w:tcMar>
              <w:top w:w="85" w:type="dxa"/>
              <w:start w:w="90" w:type="dxa"/>
              <w:bottom w:w="85" w:type="dxa"/>
              <w:end w:w="90" w:type="dxa"/>
            </w:tcMar>
          </w:tcPr>
          <w:p>
            <w:pPr>
              <w:keepLines/>
              <w:spacing w:before="0" w:after="0"/>
            </w:pPr>
            <w:r/>
            <w:r>
              <w:rPr>
                <w:rFonts w:ascii="Aptos" w:hAnsi="Aptos"/>
                <w:b/>
                <w:i w:val="0"/>
                <w:color w:val="0B2D57"/>
                <w:sz w:val="16"/>
              </w:rPr>
              <w:t>MPQ</w:t>
            </w:r>
          </w:p>
        </w:tc>
        <w:tc>
          <w:tcPr>
            <w:tcW w:type="dxa" w:w="8020"/>
            <w:shd w:fill="F5F8FC" w:val="clear"/>
            <w:tcBorders>
              <w:bottom w:val="single" w:sz="3" w:color="D7DEE8"/>
            </w:tcBorders>
            <w:tcMar>
              <w:top w:w="85" w:type="dxa"/>
              <w:start w:w="90" w:type="dxa"/>
              <w:bottom w:w="85" w:type="dxa"/>
              <w:end w:w="90" w:type="dxa"/>
            </w:tcMar>
          </w:tcPr>
          <w:p>
            <w:pPr>
              <w:keepLines/>
              <w:spacing w:before="0" w:after="0" w:line="240" w:lineRule="auto"/>
            </w:pPr>
            <w:r/>
            <w:r>
              <w:rPr>
                <w:rFonts w:ascii="Aptos" w:hAnsi="Aptos"/>
                <w:b w:val="0"/>
                <w:i w:val="0"/>
                <w:color w:val="1E2730"/>
                <w:sz w:val="16"/>
              </w:rPr>
              <w:t>Minimum purchase quantity, often imposed by an ingredient, raw-material, packaging, or component supplier even when the manufacturer advertises a lower finished-goods MOQ.</w:t>
            </w:r>
          </w:p>
        </w:tc>
      </w:tr>
      <w:tr>
        <w:trPr>
          <w:cantSplit/>
        </w:trPr>
        <w:tc>
          <w:tcPr>
            <w:tcW w:type="dxa" w:w="2232"/>
            <w:shd w:fill="FFFFFF" w:val="clear"/>
            <w:tcBorders>
              <w:bottom w:val="single" w:sz="3" w:color="D7DEE8"/>
            </w:tcBorders>
            <w:tcMar>
              <w:top w:w="85" w:type="dxa"/>
              <w:start w:w="90" w:type="dxa"/>
              <w:bottom w:w="85" w:type="dxa"/>
              <w:end w:w="90" w:type="dxa"/>
            </w:tcMar>
          </w:tcPr>
          <w:p>
            <w:pPr>
              <w:keepLines/>
              <w:spacing w:before="0" w:after="0"/>
            </w:pPr>
            <w:r/>
            <w:r>
              <w:rPr>
                <w:rFonts w:ascii="Aptos" w:hAnsi="Aptos"/>
                <w:b/>
                <w:i w:val="0"/>
                <w:color w:val="0B2D57"/>
                <w:sz w:val="16"/>
              </w:rPr>
              <w:t>Co-packer / co-manufacturer</w:t>
            </w:r>
          </w:p>
        </w:tc>
        <w:tc>
          <w:tcPr>
            <w:tcW w:type="dxa" w:w="8020"/>
            <w:shd w:fill="FFFFFF" w:val="clear"/>
            <w:tcBorders>
              <w:bottom w:val="single" w:sz="3" w:color="D7DEE8"/>
            </w:tcBorders>
            <w:tcMar>
              <w:top w:w="85" w:type="dxa"/>
              <w:start w:w="90" w:type="dxa"/>
              <w:bottom w:w="85" w:type="dxa"/>
              <w:end w:w="90" w:type="dxa"/>
            </w:tcMar>
          </w:tcPr>
          <w:p>
            <w:pPr>
              <w:keepLines/>
              <w:spacing w:before="0" w:after="0" w:line="240" w:lineRule="auto"/>
            </w:pPr>
            <w:r/>
            <w:r>
              <w:rPr>
                <w:rFonts w:ascii="Aptos" w:hAnsi="Aptos"/>
                <w:b w:val="0"/>
                <w:i w:val="0"/>
                <w:color w:val="1E2730"/>
                <w:sz w:val="16"/>
              </w:rPr>
              <w:t>A third party that manufactures, fills, blends, packs, labels, or prepares product for a brand. Scope varies dramatically by product/category.</w:t>
            </w:r>
          </w:p>
        </w:tc>
      </w:tr>
      <w:tr>
        <w:trPr>
          <w:cantSplit/>
        </w:trPr>
        <w:tc>
          <w:tcPr>
            <w:tcW w:type="dxa" w:w="2232"/>
            <w:shd w:fill="F5F8FC" w:val="clear"/>
            <w:tcBorders>
              <w:bottom w:val="single" w:sz="3" w:color="D7DEE8"/>
            </w:tcBorders>
            <w:tcMar>
              <w:top w:w="85" w:type="dxa"/>
              <w:start w:w="90" w:type="dxa"/>
              <w:bottom w:w="85" w:type="dxa"/>
              <w:end w:w="90" w:type="dxa"/>
            </w:tcMar>
          </w:tcPr>
          <w:p>
            <w:pPr>
              <w:keepLines/>
              <w:spacing w:before="0" w:after="0"/>
            </w:pPr>
            <w:r/>
            <w:r>
              <w:rPr>
                <w:rFonts w:ascii="Aptos" w:hAnsi="Aptos"/>
                <w:b/>
                <w:i w:val="0"/>
                <w:color w:val="0B2D57"/>
                <w:sz w:val="16"/>
              </w:rPr>
              <w:t>Private label</w:t>
            </w:r>
          </w:p>
        </w:tc>
        <w:tc>
          <w:tcPr>
            <w:tcW w:type="dxa" w:w="8020"/>
            <w:shd w:fill="F5F8FC" w:val="clear"/>
            <w:tcBorders>
              <w:bottom w:val="single" w:sz="3" w:color="D7DEE8"/>
            </w:tcBorders>
            <w:tcMar>
              <w:top w:w="85" w:type="dxa"/>
              <w:start w:w="90" w:type="dxa"/>
              <w:bottom w:w="85" w:type="dxa"/>
              <w:end w:w="90" w:type="dxa"/>
            </w:tcMar>
          </w:tcPr>
          <w:p>
            <w:pPr>
              <w:keepLines/>
              <w:spacing w:before="0" w:after="0" w:line="240" w:lineRule="auto"/>
            </w:pPr>
            <w:r/>
            <w:r>
              <w:rPr>
                <w:rFonts w:ascii="Aptos" w:hAnsi="Aptos"/>
                <w:b w:val="0"/>
                <w:i w:val="0"/>
                <w:color w:val="1E2730"/>
                <w:sz w:val="16"/>
              </w:rPr>
              <w:t>A supplier’s existing or stock formula/product made available under the brand’s label with varying degrees of allowable customization.</w:t>
            </w:r>
          </w:p>
        </w:tc>
      </w:tr>
      <w:tr>
        <w:trPr>
          <w:cantSplit/>
        </w:trPr>
        <w:tc>
          <w:tcPr>
            <w:tcW w:type="dxa" w:w="2232"/>
            <w:shd w:fill="FFFFFF" w:val="clear"/>
            <w:tcBorders>
              <w:bottom w:val="single" w:sz="3" w:color="D7DEE8"/>
            </w:tcBorders>
            <w:tcMar>
              <w:top w:w="85" w:type="dxa"/>
              <w:start w:w="90" w:type="dxa"/>
              <w:bottom w:w="85" w:type="dxa"/>
              <w:end w:w="90" w:type="dxa"/>
            </w:tcMar>
          </w:tcPr>
          <w:p>
            <w:pPr>
              <w:keepLines/>
              <w:spacing w:before="0" w:after="0"/>
            </w:pPr>
            <w:r/>
            <w:r>
              <w:rPr>
                <w:rFonts w:ascii="Aptos" w:hAnsi="Aptos"/>
                <w:b/>
                <w:i w:val="0"/>
                <w:color w:val="0B2D57"/>
                <w:sz w:val="16"/>
              </w:rPr>
              <w:t>Custom formulation</w:t>
            </w:r>
          </w:p>
        </w:tc>
        <w:tc>
          <w:tcPr>
            <w:tcW w:type="dxa" w:w="8020"/>
            <w:shd w:fill="FFFFFF" w:val="clear"/>
            <w:tcBorders>
              <w:bottom w:val="single" w:sz="3" w:color="D7DEE8"/>
            </w:tcBorders>
            <w:tcMar>
              <w:top w:w="85" w:type="dxa"/>
              <w:start w:w="90" w:type="dxa"/>
              <w:bottom w:w="85" w:type="dxa"/>
              <w:end w:w="90" w:type="dxa"/>
            </w:tcMar>
          </w:tcPr>
          <w:p>
            <w:pPr>
              <w:keepLines/>
              <w:spacing w:before="0" w:after="0" w:line="240" w:lineRule="auto"/>
            </w:pPr>
            <w:r/>
            <w:r>
              <w:rPr>
                <w:rFonts w:ascii="Aptos" w:hAnsi="Aptos"/>
                <w:b w:val="0"/>
                <w:i w:val="0"/>
                <w:color w:val="1E2730"/>
                <w:sz w:val="16"/>
              </w:rPr>
              <w:t>A product developed or materially modified for the brand. It typically involves more development cost, longer lead time, testing, IP/ownership questions, and higher MOQs.</w:t>
            </w:r>
          </w:p>
        </w:tc>
      </w:tr>
      <w:tr>
        <w:trPr>
          <w:cantSplit/>
        </w:trPr>
        <w:tc>
          <w:tcPr>
            <w:tcW w:type="dxa" w:w="2232"/>
            <w:shd w:fill="F5F8FC" w:val="clear"/>
            <w:tcBorders>
              <w:bottom w:val="single" w:sz="3" w:color="D7DEE8"/>
            </w:tcBorders>
            <w:tcMar>
              <w:top w:w="85" w:type="dxa"/>
              <w:start w:w="90" w:type="dxa"/>
              <w:bottom w:w="85" w:type="dxa"/>
              <w:end w:w="90" w:type="dxa"/>
            </w:tcMar>
          </w:tcPr>
          <w:p>
            <w:pPr>
              <w:keepLines/>
              <w:spacing w:before="0" w:after="0"/>
            </w:pPr>
            <w:r/>
            <w:r>
              <w:rPr>
                <w:rFonts w:ascii="Aptos" w:hAnsi="Aptos"/>
                <w:b/>
                <w:i w:val="0"/>
                <w:color w:val="0B2D57"/>
                <w:sz w:val="16"/>
              </w:rPr>
              <w:t>Lead time</w:t>
            </w:r>
          </w:p>
        </w:tc>
        <w:tc>
          <w:tcPr>
            <w:tcW w:type="dxa" w:w="8020"/>
            <w:shd w:fill="F5F8FC" w:val="clear"/>
            <w:tcBorders>
              <w:bottom w:val="single" w:sz="3" w:color="D7DEE8"/>
            </w:tcBorders>
            <w:tcMar>
              <w:top w:w="85" w:type="dxa"/>
              <w:start w:w="90" w:type="dxa"/>
              <w:bottom w:w="85" w:type="dxa"/>
              <w:end w:w="90" w:type="dxa"/>
            </w:tcMar>
          </w:tcPr>
          <w:p>
            <w:pPr>
              <w:keepLines/>
              <w:spacing w:before="0" w:after="0" w:line="240" w:lineRule="auto"/>
            </w:pPr>
            <w:r/>
            <w:r>
              <w:rPr>
                <w:rFonts w:ascii="Aptos" w:hAnsi="Aptos"/>
                <w:b w:val="0"/>
                <w:i w:val="0"/>
                <w:color w:val="1E2730"/>
                <w:sz w:val="16"/>
              </w:rPr>
              <w:t>The time from a defined starting point to a defined output. Always ask: Does it begin at quote, deposit, artwork approval, material arrival, production slot, or final release?</w:t>
            </w:r>
          </w:p>
        </w:tc>
      </w:tr>
      <w:tr>
        <w:trPr>
          <w:cantSplit/>
        </w:trPr>
        <w:tc>
          <w:tcPr>
            <w:tcW w:type="dxa" w:w="2232"/>
            <w:shd w:fill="FFFFFF" w:val="clear"/>
            <w:tcBorders>
              <w:bottom w:val="single" w:sz="3" w:color="D7DEE8"/>
            </w:tcBorders>
            <w:tcMar>
              <w:top w:w="85" w:type="dxa"/>
              <w:start w:w="90" w:type="dxa"/>
              <w:bottom w:w="85" w:type="dxa"/>
              <w:end w:w="90" w:type="dxa"/>
            </w:tcMar>
          </w:tcPr>
          <w:p>
            <w:pPr>
              <w:keepLines/>
              <w:spacing w:before="0" w:after="0"/>
            </w:pPr>
            <w:r/>
            <w:r>
              <w:rPr>
                <w:rFonts w:ascii="Aptos" w:hAnsi="Aptos"/>
                <w:b/>
                <w:i w:val="0"/>
                <w:color w:val="0B2D57"/>
                <w:sz w:val="16"/>
              </w:rPr>
              <w:t>Cost to serve</w:t>
            </w:r>
          </w:p>
        </w:tc>
        <w:tc>
          <w:tcPr>
            <w:tcW w:type="dxa" w:w="8020"/>
            <w:shd w:fill="FFFFFF" w:val="clear"/>
            <w:tcBorders>
              <w:bottom w:val="single" w:sz="3" w:color="D7DEE8"/>
            </w:tcBorders>
            <w:tcMar>
              <w:top w:w="85" w:type="dxa"/>
              <w:start w:w="90" w:type="dxa"/>
              <w:bottom w:w="85" w:type="dxa"/>
              <w:end w:w="90" w:type="dxa"/>
            </w:tcMar>
          </w:tcPr>
          <w:p>
            <w:pPr>
              <w:keepLines/>
              <w:spacing w:before="0" w:after="0" w:line="240" w:lineRule="auto"/>
            </w:pPr>
            <w:r/>
            <w:r>
              <w:rPr>
                <w:rFonts w:ascii="Aptos" w:hAnsi="Aptos"/>
                <w:b w:val="0"/>
                <w:i w:val="0"/>
                <w:color w:val="1E2730"/>
                <w:sz w:val="16"/>
              </w:rPr>
              <w:t>Total cost to fulfill an order or channel: product, packaging, receiving, pick/pack, storage, shipping, returns, support, retailer requirements, and service fees.</w:t>
            </w:r>
          </w:p>
        </w:tc>
      </w:tr>
    </w:tbl>
    <w:p>
      <w:pPr>
        <w:widowControl/>
      </w:pPr>
      <w:r>
        <w:br w:type="page"/>
      </w:r>
    </w:p>
    <w:p>
      <w:pPr>
        <w:keepNext/>
        <w:widowControl/>
        <w:spacing w:before="0" w:after="60"/>
      </w:pPr>
      <w:r>
        <w:rPr>
          <w:rFonts w:ascii="Aptos" w:hAnsi="Aptos"/>
          <w:b/>
          <w:i w:val="0"/>
          <w:color w:val="3978D7"/>
          <w:sz w:val="16"/>
        </w:rPr>
        <w:t>NEXT STEP | TAKE ONE OPERATING ACTION</w:t>
      </w:r>
    </w:p>
    <w:p>
      <w:pPr>
        <w:keepNext/>
        <w:widowControl/>
        <w:spacing w:before="0" w:after="80"/>
      </w:pPr>
      <w:r>
        <w:rPr>
          <w:rFonts w:ascii="Aptos Display" w:hAnsi="Aptos Display"/>
          <w:b/>
          <w:i w:val="0"/>
          <w:color w:val="071E41"/>
          <w:sz w:val="40"/>
        </w:rPr>
        <w:t>Use the Directory to Move a Real Decision Forward</w:t>
      </w:r>
    </w:p>
    <w:p>
      <w:pPr>
        <w:keepNext/>
        <w:widowControl/>
        <w:spacing w:before="0" w:after="200" w:line="252" w:lineRule="auto"/>
      </w:pPr>
      <w:r>
        <w:rPr>
          <w:rFonts w:ascii="Aptos" w:hAnsi="Aptos"/>
          <w:b w:val="0"/>
          <w:i w:val="0"/>
          <w:color w:val="4B5563"/>
          <w:sz w:val="17"/>
        </w:rPr>
        <w:t>The most useful outcome is not a saved file. It is a better prepared, better sequenced, and better priced operating decision.</w:t>
      </w:r>
    </w:p>
    <w:tbl>
      <w:tblPr>
        <w:tblW w:type="auto" w:w="0"/>
        <w:jc w:val="left"/>
        <w:tblLayout w:type="fixed"/>
        <w:tblLook w:firstColumn="1" w:firstRow="1" w:lastColumn="0" w:lastRow="0" w:noHBand="0" w:noVBand="1" w:val="04A0"/>
      </w:tblPr>
      <w:tblGrid>
        <w:gridCol w:w="10252"/>
      </w:tblGrid>
      <w:tr>
        <w:tc>
          <w:tcPr>
            <w:tcW w:type="dxa" w:w="1512"/>
            <w:shd w:fill="3978D7" w:val="clear"/>
            <w:tcMar>
              <w:top w:w="15" w:type="dxa"/>
              <w:start w:w="0" w:type="dxa"/>
              <w:bottom w:w="15" w:type="dxa"/>
              <w:end w:w="0" w:type="dxa"/>
            </w:tcMar>
          </w:tcPr>
          <w:p>
            <w:r/>
          </w:p>
        </w:tc>
      </w:tr>
    </w:tbl>
    <w:p>
      <w:pPr>
        <w:widowControl/>
        <w:spacing w:after="160"/>
      </w:pPr>
    </w:p>
    <w:tbl>
      <w:tblPr>
        <w:tblW w:type="auto" w:w="0"/>
        <w:jc w:val="center"/>
        <w:tblLayout w:type="fixed"/>
        <w:tblLook w:firstColumn="1" w:firstRow="1" w:lastColumn="0" w:lastRow="0" w:noHBand="0" w:noVBand="1" w:val="04A0"/>
      </w:tblPr>
      <w:tblGrid>
        <w:gridCol w:w="5126"/>
        <w:gridCol w:w="5126"/>
      </w:tblGrid>
      <w:tr>
        <w:tc>
          <w:tcPr>
            <w:tcW w:type="dxa" w:w="5126"/>
            <w:shd w:fill="EFF5FF" w:val="clear"/>
            <w:tcBorders>
              <w:top w:val="single" w:sz="10" w:color="3978D7"/>
              <w:left w:val="single" w:sz="10" w:color="3978D7"/>
              <w:bottom w:val="single" w:sz="10" w:color="3978D7"/>
              <w:right w:val="single" w:sz="10" w:color="3978D7"/>
            </w:tcBorders>
            <w:tcMar>
              <w:top w:w="150" w:type="dxa"/>
              <w:start w:w="140" w:type="dxa"/>
              <w:bottom w:w="150" w:type="dxa"/>
              <w:end w:w="140" w:type="dxa"/>
            </w:tcMar>
          </w:tcPr>
          <w:p>
            <w:pPr>
              <w:keepLines/>
              <w:spacing w:before="0" w:after="60"/>
            </w:pPr>
            <w:r/>
            <w:r>
              <w:rPr>
                <w:rFonts w:ascii="Aptos" w:hAnsi="Aptos"/>
                <w:b/>
                <w:i w:val="0"/>
                <w:color w:val="3978D7"/>
                <w:sz w:val="16"/>
              </w:rPr>
              <w:t>FOUNDER ACTION THIS WEEK</w:t>
            </w:r>
          </w:p>
          <w:p>
            <w:pPr>
              <w:keepLines/>
              <w:spacing w:before="0" w:after="0" w:line="252" w:lineRule="auto"/>
            </w:pPr>
            <w:r>
              <w:rPr>
                <w:rFonts w:ascii="Aptos" w:hAnsi="Aptos"/>
                <w:b w:val="0"/>
                <w:i w:val="0"/>
                <w:color w:val="1E2730"/>
                <w:sz w:val="18"/>
              </w:rPr>
              <w:t>Choose one active operating need. Read the relevant stage guidance. Select two possible partners. Prepare a one-page brief and the first-call question list. Do not request quotes until you can answer the partner’s basic fit questions.</w:t>
            </w:r>
          </w:p>
        </w:tc>
        <w:tc>
          <w:tcPr>
            <w:tcW w:type="dxa" w:w="5126"/>
            <w:shd w:fill="FFF5E7" w:val="clear"/>
            <w:tcBorders>
              <w:top w:val="single" w:sz="10" w:color="C89B2C"/>
              <w:left w:val="single" w:sz="10" w:color="C89B2C"/>
              <w:bottom w:val="single" w:sz="10" w:color="C89B2C"/>
              <w:right w:val="single" w:sz="10" w:color="C89B2C"/>
            </w:tcBorders>
            <w:tcMar>
              <w:top w:w="150" w:type="dxa"/>
              <w:start w:w="140" w:type="dxa"/>
              <w:bottom w:w="150" w:type="dxa"/>
              <w:end w:w="140" w:type="dxa"/>
            </w:tcMar>
          </w:tcPr>
          <w:p>
            <w:pPr>
              <w:keepLines/>
              <w:spacing w:before="0" w:after="60"/>
            </w:pPr>
            <w:r/>
            <w:r>
              <w:rPr>
                <w:rFonts w:ascii="Aptos" w:hAnsi="Aptos"/>
                <w:b/>
                <w:i w:val="0"/>
                <w:color w:val="C89B2C"/>
                <w:sz w:val="16"/>
              </w:rPr>
              <w:t>WHEN TO USE VGP / GROWTH OS</w:t>
            </w:r>
          </w:p>
          <w:p>
            <w:pPr>
              <w:keepLines/>
              <w:spacing w:before="0" w:after="0" w:line="252" w:lineRule="auto"/>
            </w:pPr>
            <w:r>
              <w:rPr>
                <w:rFonts w:ascii="Aptos" w:hAnsi="Aptos"/>
                <w:b w:val="0"/>
                <w:i w:val="0"/>
                <w:color w:val="1E2730"/>
                <w:sz w:val="18"/>
              </w:rPr>
              <w:t>Use advisory when the decision requires product/operations strategy, a financial model, retail-readiness plan, partner comparison, funding plan, systems workflow, or multi-party coordination. The directory is the starting point; tailored support is separately scoped.</w:t>
            </w:r>
          </w:p>
        </w:tc>
      </w:tr>
    </w:tbl>
    <w:p>
      <w:pPr>
        <w:widowControl/>
        <w:spacing w:after="240"/>
      </w:pPr>
    </w:p>
    <w:tbl>
      <w:tblPr>
        <w:tblW w:type="auto" w:w="0"/>
        <w:jc w:val="center"/>
        <w:tblLayout w:type="fixed"/>
        <w:tblLook w:firstColumn="1" w:firstRow="1" w:lastColumn="0" w:lastRow="0" w:noHBand="0" w:noVBand="1" w:val="04A0"/>
      </w:tblPr>
      <w:tblGrid>
        <w:gridCol w:w="10252"/>
      </w:tblGrid>
      <w:tr>
        <w:tc>
          <w:tcPr>
            <w:tcW w:type="dxa" w:w="10252"/>
            <w:shd w:fill="071E41" w:val="clear"/>
            <w:tcMar>
              <w:top w:w="130" w:type="dxa"/>
              <w:start w:w="160" w:type="dxa"/>
              <w:bottom w:w="130" w:type="dxa"/>
              <w:end w:w="160" w:type="dxa"/>
            </w:tcMar>
          </w:tcPr>
          <w:p>
            <w:pPr>
              <w:keepLines/>
              <w:spacing w:before="0" w:after="80"/>
            </w:pPr>
            <w:r/>
            <w:r>
              <w:rPr>
                <w:rFonts w:ascii="Aptos Display" w:hAnsi="Aptos Display"/>
                <w:b/>
                <w:i w:val="0"/>
                <w:color w:val="C89B2C"/>
                <w:sz w:val="36"/>
              </w:rPr>
              <w:t>“</w:t>
            </w:r>
            <w:r>
              <w:rPr>
                <w:rFonts w:ascii="Aptos Display" w:hAnsi="Aptos Display"/>
                <w:b/>
                <w:i w:val="0"/>
                <w:color w:val="FFFFFF"/>
                <w:sz w:val="22"/>
              </w:rPr>
              <w:t>Founder operating infrastructure, not just consulting.</w:t>
            </w:r>
            <w:r>
              <w:rPr>
                <w:rFonts w:ascii="Aptos Display" w:hAnsi="Aptos Display"/>
                <w:b/>
                <w:i w:val="0"/>
                <w:color w:val="C89B2C"/>
                <w:sz w:val="36"/>
              </w:rPr>
              <w:t>”</w:t>
            </w:r>
          </w:p>
          <w:p>
            <w:pPr>
              <w:keepLines/>
              <w:spacing w:before="0" w:after="0"/>
            </w:pPr>
            <w:r>
              <w:rPr>
                <w:rFonts w:ascii="Aptos" w:hAnsi="Aptos"/>
                <w:b/>
                <w:i w:val="0"/>
                <w:color w:val="DCEBFF"/>
                <w:sz w:val="15"/>
              </w:rPr>
              <w:t>Dana Ammons | Founder &amp; Chief Ecosystem Architect</w:t>
            </w:r>
          </w:p>
        </w:tc>
      </w:tr>
    </w:tbl>
    <w:p>
      <w:pPr>
        <w:widowControl/>
        <w:spacing w:after="120"/>
      </w:pPr>
    </w:p>
    <w:p>
      <w:pPr>
        <w:widowControl/>
        <w:spacing w:before="0" w:after="40"/>
        <w:jc w:val="center"/>
      </w:pPr>
      <w:r>
        <w:rPr>
          <w:rFonts w:ascii="Aptos Display" w:hAnsi="Aptos Display"/>
          <w:b/>
          <w:i w:val="0"/>
          <w:color w:val="071E41"/>
          <w:sz w:val="25"/>
        </w:rPr>
        <w:t>THE BRAND BLUEPRINT</w:t>
      </w:r>
    </w:p>
    <w:p>
      <w:pPr>
        <w:widowControl/>
        <w:spacing w:before="0" w:after="20"/>
        <w:jc w:val="center"/>
      </w:pPr>
      <w:r>
        <w:rPr>
          <w:rFonts w:ascii="Aptos" w:hAnsi="Aptos"/>
          <w:b/>
          <w:i w:val="0"/>
          <w:color w:val="3978D7"/>
          <w:sz w:val="17"/>
        </w:rPr>
        <w:t>Powered by Value Growth Partners | Strategic Advisory &amp; Operating Firm</w:t>
      </w:r>
    </w:p>
    <w:p>
      <w:pPr>
        <w:widowControl/>
        <w:spacing w:before="0" w:after="0"/>
        <w:jc w:val="center"/>
      </w:pPr>
      <w:r>
        <w:rPr>
          <w:rFonts w:ascii="Aptos" w:hAnsi="Aptos"/>
          <w:b w:val="0"/>
          <w:i w:val="0"/>
          <w:color w:val="4B5563"/>
          <w:sz w:val="16"/>
        </w:rPr>
        <w:t>Dana Ammons  |  Founder &amp; Principal Strategist  |  www.valuegrowthpartners.com</w:t>
      </w:r>
    </w:p>
    <w:sectPr>
      <w:headerReference w:type="default" r:id="rId9"/>
      <w:footerReference w:type="default" r:id="rId10"/>
      <w:pgSz w:w="12240" w:h="15840"/>
      <w:pgMar w:top="893" w:right="994" w:bottom="893" w:left="994"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Layout w:type="fixed"/>
    </w:tblPr>
    <w:tblGrid>
      <w:gridCol w:w="5126"/>
      <w:gridCol w:w="5126"/>
    </w:tblGrid>
    <w:tr>
      <w:tc>
        <w:tcPr>
          <w:tcW w:type="dxa" w:w="8496"/>
          <w:tcBorders>
            <w:top w:val="single" w:sz="5" w:color="D7DEE8"/>
          </w:tcBorders>
          <w:tcMar>
            <w:top w:w="45" w:type="dxa"/>
            <w:start w:w="0" w:type="dxa"/>
            <w:bottom w:w="0" w:type="dxa"/>
            <w:end w:w="0" w:type="dxa"/>
          </w:tcMar>
        </w:tcPr>
        <w:p>
          <w:pPr>
            <w:spacing w:before="0" w:after="0"/>
          </w:pPr>
          <w:r/>
          <w:r>
            <w:rPr>
              <w:rFonts w:ascii="Aptos" w:hAnsi="Aptos"/>
              <w:b w:val="0"/>
              <w:i w:val="0"/>
              <w:color w:val="4B5563"/>
              <w:sz w:val="14"/>
            </w:rPr>
            <w:t>Brand Blueprint Ecosystem  |  VGP  |  OP-002 v2.1</w:t>
          </w:r>
        </w:p>
      </w:tc>
      <w:tc>
        <w:tcPr>
          <w:tcW w:type="dxa" w:w="1756"/>
          <w:tcBorders>
            <w:top w:val="single" w:sz="5" w:color="D7DEE8"/>
          </w:tcBorders>
          <w:tcMar>
            <w:top w:w="45" w:type="dxa"/>
            <w:start w:w="0" w:type="dxa"/>
            <w:bottom w:w="0" w:type="dxa"/>
            <w:end w:w="0" w:type="dxa"/>
          </w:tcMar>
        </w:tcPr>
        <w:p>
          <w:pPr>
            <w:spacing w:before="0" w:after="0"/>
            <w:jc w:val="right"/>
          </w:pPr>
          <w:r/>
          <w:r>
            <w:rPr>
              <w:rFonts w:ascii="Aptos" w:hAnsi="Aptos"/>
              <w:b/>
              <w:i w:val="0"/>
              <w:color w:val="4B5563"/>
              <w:sz w:val="14"/>
            </w:rPr>
            <w:t xml:space="preserve">PAGE </w:t>
          </w:r>
          <w:r>
            <w:rPr>
              <w:rFonts w:ascii="Aptos" w:hAnsi="Aptos"/>
              <w:b/>
              <w:color w:val="071E41"/>
              <w:sz w:val="14"/>
            </w:rPr>
            <w:fldChar w:fldCharType="begin"/>
            <w:instrText xml:space="preserve">PAGE</w:instrText>
            <w:fldChar w:fldCharType="end"/>
          </w:r>
        </w:p>
      </w:tc>
    </w:tr>
  </w:tbl>
  <w:p>
    <w:pPr>
      <w:jc w:val="center"/>
    </w:pPr>
    <w:r>
      <w:rPr>
        <w:rFonts w:ascii="Arial" w:hAnsi="Arial" w:eastAsia="Arial"/>
        <w:b w:val="0"/>
        <w:i w:val="0"/>
        <w:color w:val="4B5563"/>
        <w:sz w:val="16"/>
      </w:rPr>
      <w:t xml:space="preserve">© 2026 Value Growth Partners · Founder Network member resource · Not for redistribution · Page </w:t>
    </w:r>
    <w:r>
      <w:rPr>
        <w:rFonts w:ascii="Arial" w:hAnsi="Arial" w:eastAsia="Arial"/>
        <w:b w:val="0"/>
        <w:i w:val="0"/>
        <w:color w:val="4B556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Pr>
    <w:r>
      <w:rPr>
        <w:rFonts w:ascii="Aptos Display" w:hAnsi="Aptos Display"/>
        <w:b/>
        <w:i w:val="0"/>
        <w:color w:val="071E41"/>
        <w:sz w:val="16"/>
      </w:rPr>
      <w:t>THE BRAND BLUEPRINT</w:t>
    </w:r>
    <w:r>
      <w:rPr>
        <w:rFonts w:ascii="Aptos" w:hAnsi="Aptos"/>
        <w:b w:val="0"/>
        <w:i w:val="0"/>
        <w:color w:val="4B5563"/>
        <w:sz w:val="16"/>
      </w:rPr>
      <w:t xml:space="preserve">  |  Founder Network Resource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ptos" w:hAnsi="Aptos"/>
      <w:color w:val="1E27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71E4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978D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71E41"/>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OP-002 Manufacturing, Packaging + Fulfillment Operating Partner Directory v2.1</dc:title>
  <dc:subject>Brand Blueprint Founder Network Resource Directory</dc:subject>
  <dc:creator/>
  <cp:keywords/>
  <dc:description>Member-facing operating partner resource. Public information snapshot; confirm details directly before commitment.</dc:description>
  <cp:lastModifiedBy/>
  <cp:revision>1</cp:revision>
  <dcterms:created xsi:type="dcterms:W3CDTF">2013-12-23T23:15:00Z</dcterms:created>
  <dcterms:modified xsi:type="dcterms:W3CDTF">2013-12-23T23:15:00Z</dcterms:modified>
  <cp:category/>
</cp:coreProperties>
</file>