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8763E"/>
          <w:sz w:val="17"/>
        </w:rPr>
        <w:t>ACC-02 · ACCELERATOR</w:t>
      </w:r>
    </w:p>
    <w:p>
      <w:pPr>
        <w:spacing w:after="160"/>
      </w:pPr>
      <w:r>
        <w:rPr>
          <w:b/>
          <w:color w:val="1A2B3C"/>
          <w:sz w:val="38"/>
        </w:rPr>
        <w:t>Cohort Workbook &amp; Session Templates</w:t>
      </w:r>
    </w:p>
    <w:p>
      <w:r>
        <w:rPr>
          <w:i w:val="0"/>
        </w:rPr>
        <w:t>The Brand Blueprint is your founder-facing ecosystem, Value Growth Partners is the advisory and execution engine behind it, and Growth OS turns plans into operating infrastructure — this workbook is what you fill in as a cohort runs, so the sessions leave artifacts behind instead of notes you never reopen.</w:t>
      </w:r>
    </w:p>
    <w:p>
      <w:pPr>
        <w:spacing w:before="280" w:after="80"/>
      </w:pPr>
      <w:r>
        <w:rPr>
          <w:b/>
          <w:color w:val="1A2B3C"/>
          <w:sz w:val="24"/>
        </w:rPr>
        <w:t>How to use this workbook</w:t>
      </w:r>
    </w:p>
    <w:p>
      <w:pPr>
        <w:pStyle w:val="ListBullet"/>
        <w:spacing w:after="60"/>
      </w:pPr>
      <w:r>
        <w:rPr>
          <w:color w:val="1A2B3C"/>
          <w:sz w:val="21"/>
        </w:rPr>
        <w:t>Duplicate the session template for each session. Seven modules, seven copies.</w:t>
      </w:r>
    </w:p>
    <w:p>
      <w:pPr>
        <w:pStyle w:val="ListBullet"/>
        <w:spacing w:after="60"/>
      </w:pPr>
      <w:r>
        <w:rPr>
          <w:color w:val="1A2B3C"/>
          <w:sz w:val="21"/>
        </w:rPr>
        <w:t>Complete the pre-work section before the session, not during it. Sessions start from your real figures and lose their value when they start from guesses.</w:t>
      </w:r>
    </w:p>
    <w:p>
      <w:pPr>
        <w:pStyle w:val="ListBullet"/>
        <w:spacing w:after="60"/>
      </w:pPr>
      <w:r>
        <w:rPr>
          <w:color w:val="1A2B3C"/>
          <w:sz w:val="21"/>
        </w:rPr>
        <w:t>Fill the commitment block before you leave the room, while the decision is still fresh.</w:t>
      </w:r>
    </w:p>
    <w:p>
      <w:pPr>
        <w:pStyle w:val="ListBullet"/>
        <w:spacing w:after="60"/>
      </w:pPr>
      <w:r>
        <w:rPr>
          <w:color w:val="1A2B3C"/>
          <w:sz w:val="21"/>
        </w:rPr>
        <w:t>Bring the previous session's commitment block to the next session. That is the only accountability mechanism the cohort has.</w:t>
      </w:r>
    </w:p>
    <w:p>
      <w:r>
        <w:br w:type="page"/>
      </w:r>
    </w:p>
    <w:p>
      <w:pPr>
        <w:spacing w:after="40"/>
      </w:pPr>
      <w:r>
        <w:rPr>
          <w:b/>
          <w:color w:val="B8763E"/>
          <w:sz w:val="17"/>
        </w:rPr>
        <w:t>TEMPLATE · DUPLICATE PER SESSION</w:t>
      </w:r>
    </w:p>
    <w:p>
      <w:pPr>
        <w:spacing w:after="160"/>
      </w:pPr>
      <w:r>
        <w:rPr>
          <w:b/>
          <w:color w:val="1A2B3C"/>
          <w:sz w:val="38"/>
        </w:rPr>
        <w:t>Session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fill="F2F5F8"/>
          </w:tcPr>
          <w:p>
            <w:r/>
            <w:r>
              <w:rPr>
                <w:b/>
                <w:color w:val="1A2B3C"/>
                <w:sz w:val="18"/>
              </w:rPr>
              <w:t>Field</w:t>
            </w:r>
          </w:p>
        </w:tc>
        <w:tc>
          <w:tcPr>
            <w:tcW w:type="dxa" w:w="6912"/>
            <w:shd w:fill="F2F5F8"/>
          </w:tcPr>
          <w:p>
            <w:r/>
            <w:r>
              <w:rPr>
                <w:b/>
                <w:color w:val="1A2B3C"/>
                <w:sz w:val="18"/>
              </w:rPr>
              <w:t>Entry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A2B3C"/>
                <w:sz w:val="18"/>
              </w:rPr>
              <w:t>Module</w:t>
            </w:r>
          </w:p>
        </w:tc>
        <w:tc>
          <w:tcPr>
            <w:tcW w:type="dxa" w:w="6912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A2B3C"/>
                <w:sz w:val="18"/>
              </w:rPr>
              <w:t>Session date</w:t>
            </w:r>
          </w:p>
        </w:tc>
        <w:tc>
          <w:tcPr>
            <w:tcW w:type="dxa" w:w="6912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A2B3C"/>
                <w:sz w:val="18"/>
              </w:rPr>
              <w:t>Facilitator</w:t>
            </w:r>
          </w:p>
        </w:tc>
        <w:tc>
          <w:tcPr>
            <w:tcW w:type="dxa" w:w="6912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A2B3C"/>
                <w:sz w:val="18"/>
              </w:rPr>
              <w:t>Attending from my team</w:t>
            </w:r>
          </w:p>
        </w:tc>
        <w:tc>
          <w:tcPr>
            <w:tcW w:type="dxa" w:w="6912"/>
          </w:tcPr>
          <w:p>
            <w:r/>
            <w:r>
              <w:rPr>
                <w:color w:val="1A2B3C"/>
                <w:sz w:val="18"/>
              </w:rPr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A2B3C"/>
          <w:sz w:val="24"/>
        </w:rPr>
        <w:t>Pre-work — complete before the session</w:t>
      </w:r>
    </w:p>
    <w:p>
      <w:pPr>
        <w:spacing w:after="60"/>
      </w:pPr>
      <w:r>
        <w:rPr>
          <w:b/>
          <w:sz w:val="20"/>
        </w:rPr>
        <w:t>The figures I am bringing (actual, not estimated):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400"/>
        </w:trPr>
        <w:tc>
          <w:tcPr>
            <w:tcW w:type="dxa" w:w="9504"/>
          </w:tcPr>
          <w:p/>
        </w:tc>
      </w:tr>
      <w:tr>
        <w:trPr>
          <w:trHeight w:val="400"/>
        </w:trPr>
        <w:tc>
          <w:tcPr>
            <w:tcW w:type="dxa" w:w="9504"/>
          </w:tcPr>
          <w:p/>
        </w:tc>
      </w:tr>
      <w:tr>
        <w:trPr>
          <w:trHeight w:val="400"/>
        </w:trPr>
        <w:tc>
          <w:tcPr>
            <w:tcW w:type="dxa" w:w="9504"/>
          </w:tcPr>
          <w:p/>
        </w:tc>
      </w:tr>
    </w:tbl>
    <w:p>
      <w:pPr>
        <w:spacing w:after="80"/>
      </w:pPr>
    </w:p>
    <w:p>
      <w:pPr>
        <w:spacing w:after="60"/>
      </w:pPr>
      <w:r>
        <w:rPr>
          <w:b/>
          <w:sz w:val="20"/>
        </w:rPr>
        <w:t>The decision I want to leave this session having made: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400"/>
        </w:trPr>
        <w:tc>
          <w:tcPr>
            <w:tcW w:type="dxa" w:w="9504"/>
          </w:tcPr>
          <w:p/>
        </w:tc>
      </w:tr>
      <w:tr>
        <w:trPr>
          <w:trHeight w:val="400"/>
        </w:trPr>
        <w:tc>
          <w:tcPr>
            <w:tcW w:type="dxa" w:w="9504"/>
          </w:tcPr>
          <w:p/>
        </w:tc>
      </w:tr>
      <w:tr>
        <w:trPr>
          <w:trHeight w:val="400"/>
        </w:trPr>
        <w:tc>
          <w:tcPr>
            <w:tcW w:type="dxa" w:w="9504"/>
          </w:tcPr>
          <w:p/>
        </w:tc>
      </w:tr>
    </w:tbl>
    <w:p>
      <w:pPr>
        <w:spacing w:after="80"/>
      </w:pPr>
    </w:p>
    <w:p>
      <w:pPr>
        <w:spacing w:after="60"/>
      </w:pPr>
      <w:r>
        <w:rPr>
          <w:b/>
          <w:sz w:val="20"/>
        </w:rPr>
        <w:t>What I tried since the last session, and what happened: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400"/>
        </w:trPr>
        <w:tc>
          <w:tcPr>
            <w:tcW w:type="dxa" w:w="9504"/>
          </w:tcPr>
          <w:p/>
        </w:tc>
      </w:tr>
      <w:tr>
        <w:trPr>
          <w:trHeight w:val="400"/>
        </w:trPr>
        <w:tc>
          <w:tcPr>
            <w:tcW w:type="dxa" w:w="9504"/>
          </w:tcPr>
          <w:p/>
        </w:tc>
      </w:tr>
      <w:tr>
        <w:trPr>
          <w:trHeight w:val="400"/>
        </w:trPr>
        <w:tc>
          <w:tcPr>
            <w:tcW w:type="dxa" w:w="9504"/>
          </w:tcPr>
          <w:p/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A2B3C"/>
          <w:sz w:val="24"/>
        </w:rPr>
        <w:t>In session — working notes</w:t>
      </w:r>
    </w:p>
    <w:p>
      <w:pPr>
        <w:spacing w:after="60"/>
      </w:pPr>
      <w:r>
        <w:rPr>
          <w:b/>
          <w:sz w:val="20"/>
        </w:rPr>
        <w:t>What I learned that contradicts what I believed coming in: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400"/>
        </w:trPr>
        <w:tc>
          <w:tcPr>
            <w:tcW w:type="dxa" w:w="9504"/>
          </w:tcPr>
          <w:p/>
        </w:tc>
      </w:tr>
      <w:tr>
        <w:trPr>
          <w:trHeight w:val="400"/>
        </w:trPr>
        <w:tc>
          <w:tcPr>
            <w:tcW w:type="dxa" w:w="9504"/>
          </w:tcPr>
          <w:p/>
        </w:tc>
      </w:tr>
      <w:tr>
        <w:trPr>
          <w:trHeight w:val="400"/>
        </w:trPr>
        <w:tc>
          <w:tcPr>
            <w:tcW w:type="dxa" w:w="9504"/>
          </w:tcPr>
          <w:p/>
        </w:tc>
      </w:tr>
    </w:tbl>
    <w:p>
      <w:pPr>
        <w:spacing w:after="80"/>
      </w:pPr>
    </w:p>
    <w:p>
      <w:pPr>
        <w:spacing w:after="60"/>
      </w:pPr>
      <w:r>
        <w:rPr>
          <w:b/>
          <w:sz w:val="20"/>
        </w:rPr>
        <w:t>Peer feedback worth keeping (who said it, and what):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400"/>
        </w:trPr>
        <w:tc>
          <w:tcPr>
            <w:tcW w:type="dxa" w:w="9504"/>
          </w:tcPr>
          <w:p/>
        </w:tc>
      </w:tr>
      <w:tr>
        <w:trPr>
          <w:trHeight w:val="400"/>
        </w:trPr>
        <w:tc>
          <w:tcPr>
            <w:tcW w:type="dxa" w:w="9504"/>
          </w:tcPr>
          <w:p/>
        </w:tc>
      </w:tr>
      <w:tr>
        <w:trPr>
          <w:trHeight w:val="400"/>
        </w:trPr>
        <w:tc>
          <w:tcPr>
            <w:tcW w:type="dxa" w:w="9504"/>
          </w:tcPr>
          <w:p/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A2B3C"/>
          <w:sz w:val="24"/>
        </w:rPr>
        <w:t>Artifact produced</w:t>
      </w:r>
    </w:p>
    <w:p>
      <w:r>
        <w:rPr>
          <w:i w:val="0"/>
        </w:rPr>
        <w:t>Each module is meant to produce something you keep. Name it, say where it lives, and who else has seen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456"/>
            <w:shd w:fill="F2F5F8"/>
          </w:tcPr>
          <w:p>
            <w:r/>
            <w:r>
              <w:rPr>
                <w:b/>
                <w:color w:val="1A2B3C"/>
                <w:sz w:val="18"/>
              </w:rPr>
              <w:t>Artifact</w:t>
            </w:r>
          </w:p>
        </w:tc>
        <w:tc>
          <w:tcPr>
            <w:tcW w:type="dxa" w:w="2880"/>
            <w:shd w:fill="F2F5F8"/>
          </w:tcPr>
          <w:p>
            <w:r/>
            <w:r>
              <w:rPr>
                <w:b/>
                <w:color w:val="1A2B3C"/>
                <w:sz w:val="18"/>
              </w:rPr>
              <w:t>Where it lives</w:t>
            </w:r>
          </w:p>
        </w:tc>
        <w:tc>
          <w:tcPr>
            <w:tcW w:type="dxa" w:w="2016"/>
            <w:shd w:fill="F2F5F8"/>
          </w:tcPr>
          <w:p>
            <w:r/>
            <w:r>
              <w:rPr>
                <w:b/>
                <w:color w:val="1A2B3C"/>
                <w:sz w:val="18"/>
              </w:rPr>
              <w:t>Reviewed by</w:t>
            </w:r>
          </w:p>
        </w:tc>
        <w:tc>
          <w:tcPr>
            <w:tcW w:type="dxa" w:w="1152"/>
            <w:shd w:fill="F2F5F8"/>
          </w:tcPr>
          <w:p>
            <w:r/>
            <w:r>
              <w:rPr>
                <w:b/>
                <w:color w:val="1A2B3C"/>
                <w:sz w:val="18"/>
              </w:rPr>
              <w:t>Date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color w:val="1A2B3C"/>
                <w:sz w:val="18"/>
              </w:rPr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A2B3C"/>
          <w:sz w:val="24"/>
        </w:rPr>
        <w:t>Commitment block — complete before leaving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312"/>
            <w:shd w:fill="F2F5F8"/>
          </w:tcPr>
          <w:p>
            <w:r/>
            <w:r>
              <w:rPr>
                <w:b/>
                <w:color w:val="1A2B3C"/>
                <w:sz w:val="18"/>
              </w:rPr>
              <w:t>Commitment</w:t>
            </w:r>
          </w:p>
        </w:tc>
        <w:tc>
          <w:tcPr>
            <w:tcW w:type="dxa" w:w="1584"/>
            <w:shd w:fill="F2F5F8"/>
          </w:tcPr>
          <w:p>
            <w:r/>
            <w:r>
              <w:rPr>
                <w:b/>
                <w:color w:val="1A2B3C"/>
                <w:sz w:val="18"/>
              </w:rPr>
              <w:t>Owner</w:t>
            </w:r>
          </w:p>
        </w:tc>
        <w:tc>
          <w:tcPr>
            <w:tcW w:type="dxa" w:w="1440"/>
            <w:shd w:fill="F2F5F8"/>
          </w:tcPr>
          <w:p>
            <w:r/>
            <w:r>
              <w:rPr>
                <w:b/>
                <w:color w:val="1A2B3C"/>
                <w:sz w:val="18"/>
              </w:rPr>
              <w:t>By when</w:t>
            </w:r>
          </w:p>
        </w:tc>
        <w:tc>
          <w:tcPr>
            <w:tcW w:type="dxa" w:w="3168"/>
            <w:shd w:fill="F2F5F8"/>
          </w:tcPr>
          <w:p>
            <w:r/>
            <w:r>
              <w:rPr>
                <w:b/>
                <w:color w:val="1A2B3C"/>
                <w:sz w:val="18"/>
              </w:rPr>
              <w:t>What done looks like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color w:val="1A2B3C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color w:val="1A2B3C"/>
                <w:sz w:val="18"/>
              </w:rPr>
            </w:r>
          </w:p>
        </w:tc>
      </w:tr>
    </w:tbl>
    <w:p>
      <w:pPr>
        <w:spacing w:after="80"/>
      </w:pPr>
    </w:p>
    <w:p>
      <w:r>
        <w:rPr>
          <w:i w:val="0"/>
          <w:color w:val="5A6B7C"/>
          <w:sz w:val="16"/>
        </w:rPr>
        <w:t>If you cannot state what done looks like, the commitment is not yet a commitment.</w:t>
      </w:r>
    </w:p>
    <w:p>
      <w:r>
        <w:br w:type="page"/>
      </w:r>
    </w:p>
    <w:p>
      <w:pPr>
        <w:spacing w:after="40"/>
      </w:pPr>
      <w:r>
        <w:rPr>
          <w:b/>
          <w:color w:val="B8763E"/>
          <w:sz w:val="17"/>
        </w:rPr>
        <w:t>TEMPLATE</w:t>
      </w:r>
    </w:p>
    <w:p>
      <w:pPr>
        <w:spacing w:after="160"/>
      </w:pPr>
      <w:r>
        <w:rPr>
          <w:b/>
          <w:color w:val="1A2B3C"/>
          <w:sz w:val="38"/>
        </w:rPr>
        <w:t>Peer review sheet</w:t>
      </w:r>
    </w:p>
    <w:p>
      <w:r>
        <w:rPr>
          <w:i w:val="0"/>
        </w:rPr>
        <w:t>Used when you read another founder's work. Be specific and be kind — in that order. Vague encouragement wastes the reviewer's seat.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fill="F2F5F8"/>
          </w:tcPr>
          <w:p>
            <w:r/>
            <w:r>
              <w:rPr>
                <w:b/>
                <w:color w:val="1A2B3C"/>
                <w:sz w:val="18"/>
              </w:rPr>
              <w:t>Prompt</w:t>
            </w:r>
          </w:p>
        </w:tc>
        <w:tc>
          <w:tcPr>
            <w:tcW w:type="dxa" w:w="5760"/>
            <w:shd w:fill="F2F5F8"/>
          </w:tcPr>
          <w:p>
            <w:r/>
            <w:r>
              <w:rPr>
                <w:b/>
                <w:color w:val="1A2B3C"/>
                <w:sz w:val="18"/>
              </w:rPr>
              <w:t>Response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color w:val="1A2B3C"/>
                <w:sz w:val="18"/>
              </w:rPr>
              <w:t>Whose work am I reviewing?</w:t>
            </w:r>
          </w:p>
        </w:tc>
        <w:tc>
          <w:tcPr>
            <w:tcW w:type="dxa" w:w="5760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color w:val="1A2B3C"/>
                <w:sz w:val="18"/>
              </w:rPr>
              <w:t>What is clearly true and well evidenced here?</w:t>
            </w:r>
          </w:p>
        </w:tc>
        <w:tc>
          <w:tcPr>
            <w:tcW w:type="dxa" w:w="5760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color w:val="1A2B3C"/>
                <w:sz w:val="18"/>
              </w:rPr>
              <w:t>Where does the reasoning depend on an assumption that is not stated?</w:t>
            </w:r>
          </w:p>
        </w:tc>
        <w:tc>
          <w:tcPr>
            <w:tcW w:type="dxa" w:w="5760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color w:val="1A2B3C"/>
                <w:sz w:val="18"/>
              </w:rPr>
              <w:t>What would I need to see to believe the conclusion?</w:t>
            </w:r>
          </w:p>
        </w:tc>
        <w:tc>
          <w:tcPr>
            <w:tcW w:type="dxa" w:w="5760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color w:val="1A2B3C"/>
                <w:sz w:val="18"/>
              </w:rPr>
              <w:t>One thing I would do differently, and why</w:t>
            </w:r>
          </w:p>
        </w:tc>
        <w:tc>
          <w:tcPr>
            <w:tcW w:type="dxa" w:w="5760"/>
          </w:tcPr>
          <w:p>
            <w:r/>
            <w:r>
              <w:rPr>
                <w:color w:val="1A2B3C"/>
                <w:sz w:val="18"/>
              </w:rPr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A2B3C"/>
          <w:sz w:val="24"/>
        </w:rPr>
        <w:t>Confidentiality</w:t>
      </w:r>
    </w:p>
    <w:p>
      <w:r>
        <w:rPr>
          <w:i w:val="0"/>
        </w:rPr>
        <w:t>What founders share in cohort sessions stays in the room. Do not repeat another founder's figures, customers, suppliers, or plans outside the cohort, during or after it.</w:t>
      </w:r>
    </w:p>
    <w:p>
      <w:r>
        <w:br w:type="page"/>
      </w:r>
    </w:p>
    <w:p>
      <w:pPr>
        <w:spacing w:after="40"/>
      </w:pPr>
      <w:r>
        <w:rPr>
          <w:b/>
          <w:color w:val="B8763E"/>
          <w:sz w:val="17"/>
        </w:rPr>
        <w:t>TEMPLATE</w:t>
      </w:r>
    </w:p>
    <w:p>
      <w:pPr>
        <w:spacing w:after="160"/>
      </w:pPr>
      <w:r>
        <w:rPr>
          <w:b/>
          <w:color w:val="1A2B3C"/>
          <w:sz w:val="38"/>
        </w:rPr>
        <w:t>Module close-out</w:t>
      </w:r>
    </w:p>
    <w:p>
      <w:r>
        <w:rPr>
          <w:i w:val="0"/>
        </w:rPr>
        <w:t>Complete at the end of each module, before the next begins.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fill="F2F5F8"/>
          </w:tcPr>
          <w:p>
            <w:r/>
            <w:r>
              <w:rPr>
                <w:b/>
                <w:color w:val="1A2B3C"/>
                <w:sz w:val="18"/>
              </w:rPr>
              <w:t>Question</w:t>
            </w:r>
          </w:p>
        </w:tc>
        <w:tc>
          <w:tcPr>
            <w:tcW w:type="dxa" w:w="4896"/>
            <w:shd w:fill="F2F5F8"/>
          </w:tcPr>
          <w:p>
            <w:r/>
            <w:r>
              <w:rPr>
                <w:b/>
                <w:color w:val="1A2B3C"/>
                <w:sz w:val="18"/>
              </w:rPr>
              <w:t>Response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1A2B3C"/>
                <w:sz w:val="18"/>
              </w:rPr>
              <w:t>What changed in the business as a result of this module?</w:t>
            </w:r>
          </w:p>
        </w:tc>
        <w:tc>
          <w:tcPr>
            <w:tcW w:type="dxa" w:w="4896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1A2B3C"/>
                <w:sz w:val="18"/>
              </w:rPr>
              <w:t>What did I commit to that I did not do?</w:t>
            </w:r>
          </w:p>
        </w:tc>
        <w:tc>
          <w:tcPr>
            <w:tcW w:type="dxa" w:w="4896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1A2B3C"/>
                <w:sz w:val="18"/>
              </w:rPr>
              <w:t>What is now blocking me that the cohort cannot resolve?</w:t>
            </w:r>
          </w:p>
        </w:tc>
        <w:tc>
          <w:tcPr>
            <w:tcW w:type="dxa" w:w="4896"/>
          </w:tcPr>
          <w:p>
            <w:r/>
            <w:r>
              <w:rPr>
                <w:color w:val="1A2B3C"/>
                <w:sz w:val="18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1A2B3C"/>
                <w:sz w:val="18"/>
              </w:rPr>
              <w:t>Which library collection or partner should that route to?</w:t>
            </w:r>
          </w:p>
        </w:tc>
        <w:tc>
          <w:tcPr>
            <w:tcW w:type="dxa" w:w="4896"/>
          </w:tcPr>
          <w:p>
            <w:r/>
            <w:r>
              <w:rPr>
                <w:color w:val="1A2B3C"/>
                <w:sz w:val="18"/>
              </w:rPr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A2B3C"/>
          <w:sz w:val="24"/>
        </w:rPr>
        <w:t>Carry-forward</w:t>
      </w:r>
    </w:p>
    <w:p>
      <w:pPr>
        <w:spacing w:after="60"/>
      </w:pPr>
      <w:r>
        <w:rPr>
          <w:b/>
          <w:sz w:val="20"/>
        </w:rPr>
        <w:t>Open items carried into the next module: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400"/>
        </w:trPr>
        <w:tc>
          <w:tcPr>
            <w:tcW w:type="dxa" w:w="9504"/>
          </w:tcPr>
          <w:p/>
        </w:tc>
      </w:tr>
      <w:tr>
        <w:trPr>
          <w:trHeight w:val="400"/>
        </w:trPr>
        <w:tc>
          <w:tcPr>
            <w:tcW w:type="dxa" w:w="9504"/>
          </w:tcPr>
          <w:p/>
        </w:tc>
      </w:tr>
      <w:tr>
        <w:trPr>
          <w:trHeight w:val="400"/>
        </w:trPr>
        <w:tc>
          <w:tcPr>
            <w:tcW w:type="dxa" w:w="9504"/>
          </w:tcPr>
          <w:p/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A2B3C"/>
          <w:sz w:val="24"/>
        </w:rPr>
        <w:t>Notices</w:t>
      </w:r>
    </w:p>
    <w:p>
      <w:r>
        <w:rPr>
          <w:i w:val="0"/>
          <w:color w:val="5A6B7C"/>
          <w:sz w:val="16"/>
        </w:rPr>
        <w:t>© 2026 Value Growth Partners. Provided to Founder Network members for their own use. Not legal, financial, investment, or tax advice. Do not redistribute, resell, or share outside your organization.</w:t>
      </w:r>
    </w:p>
    <w:p>
      <w:r>
        <w:rPr>
          <w:i w:val="0"/>
          <w:color w:val="5A6B7C"/>
          <w:sz w:val="16"/>
        </w:rPr>
        <w:t>Educational content only. Participation in a cohort does not guarantee funding, buyer placement, partnership, or any commercial result; outcomes depend on your own execution, market, and circumstances. Cohort structure and session dates may change — the schedule issued to your cohort supersedes this workbook. Notes you record here may include other founders' confidential information; store and dispose of this workbook accordingly.</w:t>
      </w:r>
    </w:p>
    <w:p>
      <w:r>
        <w:rPr>
          <w:i/>
          <w:color w:val="5A6B7C"/>
          <w:sz w:val="16"/>
        </w:rPr>
        <w:t>Founder Network member resource · The Brand Blueprint · Powered by Value Growth Partners</w:t>
      </w:r>
    </w:p>
    <w:sectPr w:rsidR="00FC693F" w:rsidRPr="0006063C" w:rsidSect="00034616"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2B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