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480"/>
        <w:jc w:val="left"/>
      </w:pPr>
      <w:r>
        <w:rPr>
          <w:rFonts w:ascii="Arial" w:hAnsi="Arial" w:eastAsia="Arial"/>
          <w:b/>
          <w:i w:val="0"/>
          <w:color w:val="C89B2C"/>
          <w:sz w:val="22"/>
        </w:rPr>
        <w:t>FOUNDER NETWORK · MEMBER RESOURCE</w:t>
      </w:r>
    </w:p>
    <w:p>
      <w:pPr>
        <w:spacing w:after="200" w:before="0"/>
        <w:jc w:val="left"/>
      </w:pPr>
      <w:r>
        <w:rPr>
          <w:rFonts w:ascii="Georgia" w:hAnsi="Georgia" w:eastAsia="Georgia"/>
          <w:b/>
          <w:i w:val="0"/>
          <w:color w:val="071E41"/>
          <w:sz w:val="60"/>
        </w:rPr>
        <w:t>Alternative Capital Playbook</w:t>
      </w:r>
    </w:p>
    <w:p>
      <w:pPr>
        <w:spacing w:after="360" w:before="0"/>
        <w:jc w:val="left"/>
      </w:pPr>
      <w:r>
        <w:rPr>
          <w:rFonts w:ascii="Georgia" w:hAnsi="Georgia" w:eastAsia="Georgia"/>
          <w:b w:val="0"/>
          <w:i/>
          <w:color w:val="4B5563"/>
          <w:sz w:val="26"/>
        </w:rPr>
        <w:t>Understand the non-VC funding paths available to your business and how to pursue them.</w:t>
      </w:r>
    </w:p>
    <w:p>
      <w:pPr>
        <w:spacing w:after="400" w:before="0"/>
        <w:jc w:val="left"/>
      </w:pPr>
      <w:r>
        <w:rPr>
          <w:rFonts w:ascii="Arial" w:hAnsi="Arial" w:eastAsia="Arial"/>
          <w:b/>
          <w:i w:val="0"/>
          <w:color w:val="0B2D57"/>
          <w:sz w:val="20"/>
        </w:rPr>
        <w:t>Resource ID: CAP-05    ·    Version 1.1    ·    August 13, 2026</w:t>
      </w:r>
    </w:p>
    <w:p>
      <w:pPr>
        <w:spacing w:after="40" w:before="0"/>
        <w:jc w:val="left"/>
      </w:pPr>
      <w:r>
        <w:rPr>
          <w:rFonts w:ascii="Arial" w:hAnsi="Arial" w:eastAsia="Arial"/>
          <w:b/>
          <w:i w:val="0"/>
          <w:color w:val="3978D7"/>
          <w:sz w:val="18"/>
        </w:rPr>
        <w:t>WHO IT'S FOR</w:t>
      </w:r>
    </w:p>
    <w:p>
      <w:pPr>
        <w:spacing w:after="200" w:before="0"/>
        <w:jc w:val="left"/>
      </w:pPr>
      <w:r>
        <w:rPr>
          <w:rFonts w:ascii="Arial" w:hAnsi="Arial" w:eastAsia="Arial"/>
          <w:b w:val="0"/>
          <w:i w:val="0"/>
          <w:color w:val="4B5563"/>
          <w:sz w:val="22"/>
        </w:rPr>
        <w:t>Founders who assume venture capital is the only option.</w:t>
      </w:r>
    </w:p>
    <w:p>
      <w:pPr>
        <w:spacing w:after="40" w:before="0"/>
        <w:jc w:val="left"/>
      </w:pPr>
      <w:r>
        <w:rPr>
          <w:rFonts w:ascii="Arial" w:hAnsi="Arial" w:eastAsia="Arial"/>
          <w:b/>
          <w:i w:val="0"/>
          <w:color w:val="3978D7"/>
          <w:sz w:val="18"/>
        </w:rPr>
        <w:t>WHEN TO USE IT</w:t>
      </w:r>
    </w:p>
    <w:p>
      <w:pPr>
        <w:spacing w:after="200" w:before="0"/>
        <w:jc w:val="left"/>
      </w:pPr>
      <w:r>
        <w:rPr>
          <w:rFonts w:ascii="Arial" w:hAnsi="Arial" w:eastAsia="Arial"/>
          <w:b w:val="0"/>
          <w:i w:val="0"/>
          <w:color w:val="4B5563"/>
          <w:sz w:val="22"/>
        </w:rPr>
        <w:t>Before defaulting to an equity raise.</w:t>
      </w:r>
    </w:p>
    <w:p>
      <w:pPr>
        <w:spacing w:after="40" w:before="0"/>
        <w:jc w:val="left"/>
      </w:pPr>
      <w:r>
        <w:rPr>
          <w:rFonts w:ascii="Arial" w:hAnsi="Arial" w:eastAsia="Arial"/>
          <w:b/>
          <w:i w:val="0"/>
          <w:color w:val="3978D7"/>
          <w:sz w:val="18"/>
        </w:rPr>
        <w:t>WHAT IT PRODUCES</w:t>
      </w:r>
    </w:p>
    <w:p>
      <w:pPr>
        <w:spacing w:after="200" w:before="0"/>
        <w:jc w:val="left"/>
      </w:pPr>
      <w:r>
        <w:rPr>
          <w:rFonts w:ascii="Arial" w:hAnsi="Arial" w:eastAsia="Arial"/>
          <w:b w:val="0"/>
          <w:i w:val="0"/>
          <w:color w:val="4B5563"/>
          <w:sz w:val="22"/>
        </w:rPr>
        <w:t>A shortlist of alternative capital paths matched to your stage.</w:t>
      </w:r>
    </w:p>
    <w:p>
      <w:pPr>
        <w:spacing w:after="40" w:before="0"/>
        <w:jc w:val="left"/>
      </w:pPr>
      <w:r>
        <w:rPr>
          <w:rFonts w:ascii="Arial" w:hAnsi="Arial" w:eastAsia="Arial"/>
          <w:b/>
          <w:i w:val="0"/>
          <w:color w:val="3978D7"/>
          <w:sz w:val="18"/>
        </w:rPr>
        <w:t>NEXT STEP INSIDE THE ECOSYSTEM</w:t>
      </w:r>
    </w:p>
    <w:p>
      <w:pPr>
        <w:spacing w:after="320" w:before="0"/>
        <w:jc w:val="left"/>
      </w:pPr>
      <w:r>
        <w:rPr>
          <w:rFonts w:ascii="Arial" w:hAnsi="Arial" w:eastAsia="Arial"/>
          <w:b w:val="0"/>
          <w:i w:val="0"/>
          <w:color w:val="4B5563"/>
          <w:sz w:val="22"/>
        </w:rPr>
        <w:t>Qualify each path with the Founder Capital Access Toolkit (CAP-01). For a founder-specific capital strategy, move into a VGP advisory engagement; Growth OS keeps the resulting pipeline operating week to week.</w:t>
      </w:r>
    </w:p>
    <w:p>
      <w:pPr>
        <w:spacing w:after="160" w:before="0"/>
        <w:jc w:val="left"/>
      </w:pPr>
      <w:r>
        <w:rPr>
          <w:rFonts w:ascii="Arial" w:hAnsi="Arial" w:eastAsia="Arial"/>
          <w:b w:val="0"/>
          <w:i/>
          <w:color w:val="4B5563"/>
          <w:sz w:val="18"/>
        </w:rPr>
        <w:t>© 2026 Value Growth Partners. Provided to Founder Network members for their own use. Not legal, financial, investment, or tax advice. Do not redistribute, resell, or share outside your organization.</w:t>
      </w:r>
    </w:p>
    <w:p>
      <w:pPr>
        <w:spacing w:after="120" w:before="0"/>
        <w:jc w:val="left"/>
      </w:pPr>
      <w:r>
        <w:rPr>
          <w:rFonts w:ascii="Arial" w:hAnsi="Arial" w:eastAsia="Arial"/>
          <w:b w:val="0"/>
          <w:i/>
          <w:color w:val="4B5563"/>
          <w:sz w:val="18"/>
        </w:rPr>
        <w:t>Capital &amp; funding content is educational. It is not an offer of, or advice on, securities or financing; verify eligibility, terms, and deadlines independently before applying or committing.</w:t>
      </w:r>
    </w:p>
    <w:p>
      <w:pPr>
        <w:spacing w:after="0" w:before="280"/>
        <w:jc w:val="left"/>
      </w:pPr>
      <w:r>
        <w:rPr>
          <w:rFonts w:ascii="Arial" w:hAnsi="Arial" w:eastAsia="Arial"/>
          <w:b/>
          <w:i w:val="0"/>
          <w:color w:val="071E41"/>
          <w:sz w:val="20"/>
        </w:rPr>
        <w:t>THE BRAND BLUEPRINT  ·  Powered by Value Growth Partners  ·  Growth OS</w:t>
      </w:r>
    </w:p>
    <w:p>
      <w:pPr>
        <w:spacing w:after="120" w:before="0"/>
        <w:jc w:val="left"/>
      </w:pPr>
      <w:r>
        <w:br w:type="page"/>
      </w:r>
    </w:p>
    <w:p>
      <w:pPr>
        <w:pStyle w:val="Heading1"/>
      </w:pPr>
      <w:r>
        <w:t>Alternative &amp; Creative Capital Playbook</w:t>
      </w:r>
    </w:p>
    <w:p>
      <w:r>
        <w:t>A Practical Guide for Founders Exploring Non-Dilutive &amp; Flexible Funding</w:t>
        <w:br/>
      </w:r>
    </w:p>
    <w:p>
      <w:pPr>
        <w:pStyle w:val="Heading2"/>
      </w:pPr>
      <w:r>
        <w:t>Purpose of This Guide</w:t>
      </w:r>
    </w:p>
    <w:p>
      <w:r>
        <w:t>This guide outlines practical capital options beyond traditional venture capital to help founders compare costs, timelines, and eligibility.</w:t>
      </w:r>
    </w:p>
    <w:p>
      <w:pPr>
        <w:pStyle w:val="Heading2"/>
      </w:pPr>
      <w:r>
        <w:t>Capital Types Covered</w:t>
      </w:r>
    </w:p>
    <w:p>
      <w:r>
        <w:t>- CDFI Term Loans</w:t>
        <w:br/>
        <w:t>- Revenue-Based Financing (RBF)</w:t>
        <w:br/>
        <w:t>- Invoice Factoring</w:t>
        <w:br/>
        <w:t>- State &amp; Local Incentives</w:t>
        <w:br/>
        <w:t>- Workforce Training Grants</w:t>
        <w:br/>
        <w:t>- Regulation Crowdfunding (Reg CF)</w:t>
      </w:r>
    </w:p>
    <w:p>
      <w:pPr>
        <w:pStyle w:val="Heading2"/>
      </w:pPr>
      <w:r>
        <w:t>Quick Comparison Overview</w:t>
      </w:r>
    </w:p>
    <w:p>
      <w:r>
        <w:t>This section compares capital types by use case, cost, speed, dilution, and founder fit.</w:t>
      </w:r>
    </w:p>
    <w:p>
      <w:pPr>
        <w:pStyle w:val="Heading2"/>
      </w:pPr>
      <w:r>
        <w:t>CDFI Term Loans</w:t>
      </w:r>
    </w:p>
    <w:p>
      <w:r>
        <w:t>Mission-driven loans for underserved founders. Typical APR ranges from 9–28% with flexible underwriting.</w:t>
      </w:r>
    </w:p>
    <w:p>
      <w:pPr>
        <w:pStyle w:val="Heading2"/>
      </w:pPr>
      <w:r>
        <w:t>Revenue-Based Financing</w:t>
      </w:r>
    </w:p>
    <w:p>
      <w:r>
        <w:t>Non-dilutive capital repaid as a percentage of revenue. Best for consistent monthly sales.</w:t>
      </w:r>
    </w:p>
    <w:p>
      <w:pPr>
        <w:pStyle w:val="Heading2"/>
      </w:pPr>
      <w:r>
        <w:t>Invoice Factoring</w:t>
      </w:r>
    </w:p>
    <w:p>
      <w:r>
        <w:t>Sell unpaid invoices to accelerate cash flow. Fees typically range from 1–5% per month.</w:t>
      </w:r>
    </w:p>
    <w:p>
      <w:pPr>
        <w:pStyle w:val="Heading2"/>
      </w:pPr>
      <w:r>
        <w:t>State &amp; Local Incentives</w:t>
      </w:r>
    </w:p>
    <w:p>
      <w:r>
        <w:t>Grants, credits, and loans tied to job creation, housing, and economic development.</w:t>
      </w:r>
    </w:p>
    <w:p>
      <w:pPr>
        <w:pStyle w:val="Heading2"/>
      </w:pPr>
      <w:r>
        <w:t>Workforce Training Grants</w:t>
      </w:r>
    </w:p>
    <w:p>
      <w:r>
        <w:t>Public funds to support employee training and upskilling initiatives.</w:t>
      </w:r>
    </w:p>
    <w:p>
      <w:pPr>
        <w:pStyle w:val="Heading2"/>
      </w:pPr>
      <w:r>
        <w:t>Regulation Crowdfunding</w:t>
      </w:r>
    </w:p>
    <w:p>
      <w:r>
        <w:t>Raise up to $5M annually from the public via SEC-regulated platforms.</w:t>
      </w:r>
    </w:p>
    <w:p>
      <w:pPr>
        <w:pStyle w:val="Heading2"/>
      </w:pPr>
      <w:r>
        <w:t>Founder Profile Matching</w:t>
      </w:r>
    </w:p>
    <w:p>
      <w:r>
        <w:t>Early-stage, revenue-generating, and B2B founders each align best with different capital stacks.</w:t>
      </w:r>
    </w:p>
    <w:p>
      <w:pPr>
        <w:pStyle w:val="Heading2"/>
      </w:pPr>
      <w:r>
        <w:t>Advisory Note</w:t>
      </w:r>
    </w:p>
    <w:p>
      <w:r>
        <w:t>Capital should be layered strategically. Non-dilutive options can extend runway without sacrificing ownership.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 w:eastAsia="Arial"/>
        <w:b w:val="0"/>
        <w:i w:val="0"/>
        <w:color w:val="4B5563"/>
        <w:sz w:val="16"/>
      </w:rPr>
      <w:t xml:space="preserve">© 2026 Value Growth Partners · Founder Network member resource · Not for redistribution · Page </w:t>
    </w:r>
    <w:r>
      <w:rPr>
        <w:rFonts w:ascii="Arial" w:hAnsi="Arial" w:eastAsia="Arial"/>
        <w:b w:val="0"/>
        <w:i w:val="0"/>
        <w:color w:val="4B5563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