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480"/>
        <w:jc w:val="left"/>
      </w:pPr>
      <w:r>
        <w:rPr>
          <w:rFonts w:ascii="Arial" w:hAnsi="Arial" w:eastAsia="Arial"/>
          <w:b/>
          <w:i w:val="0"/>
          <w:color w:val="C89B2C"/>
          <w:sz w:val="22"/>
        </w:rPr>
        <w:t>FOUNDER NETWORK · MEMBER RESOURCE</w:t>
      </w:r>
    </w:p>
    <w:p>
      <w:pPr>
        <w:spacing w:after="200" w:before="0"/>
        <w:jc w:val="left"/>
      </w:pPr>
      <w:r>
        <w:rPr>
          <w:rFonts w:ascii="Georgia" w:hAnsi="Georgia" w:eastAsia="Georgia"/>
          <w:b/>
          <w:i w:val="0"/>
          <w:color w:val="071E41"/>
          <w:sz w:val="60"/>
        </w:rPr>
        <w:t>Retail Trial Creator — Overview</w:t>
      </w:r>
    </w:p>
    <w:p>
      <w:pPr>
        <w:spacing w:after="360" w:before="0"/>
        <w:jc w:val="left"/>
      </w:pPr>
      <w:r>
        <w:rPr>
          <w:rFonts w:ascii="Georgia" w:hAnsi="Georgia" w:eastAsia="Georgia"/>
          <w:b w:val="0"/>
          <w:i/>
          <w:color w:val="4B5563"/>
          <w:sz w:val="26"/>
        </w:rPr>
        <w:t>Understand how a structured retail trial gets your product on shelf and proves velocity.</w:t>
      </w:r>
    </w:p>
    <w:p>
      <w:pPr>
        <w:spacing w:after="400" w:before="0"/>
        <w:jc w:val="left"/>
      </w:pPr>
      <w:r>
        <w:rPr>
          <w:rFonts w:ascii="Arial" w:hAnsi="Arial" w:eastAsia="Arial"/>
          <w:b/>
          <w:i w:val="0"/>
          <w:color w:val="0B2D57"/>
          <w:sz w:val="20"/>
        </w:rPr>
        <w:t>Resource ID: RET-01    ·    Version 1.1    ·    August 13, 2026</w:t>
      </w:r>
    </w:p>
    <w:p>
      <w:pPr>
        <w:spacing w:after="40" w:before="0"/>
        <w:jc w:val="left"/>
      </w:pPr>
      <w:r>
        <w:rPr>
          <w:rFonts w:ascii="Arial" w:hAnsi="Arial" w:eastAsia="Arial"/>
          <w:b/>
          <w:i w:val="0"/>
          <w:color w:val="3978D7"/>
          <w:sz w:val="18"/>
        </w:rPr>
        <w:t>WHO IT'S FOR</w:t>
      </w:r>
    </w:p>
    <w:p>
      <w:pPr>
        <w:spacing w:after="200" w:before="0"/>
        <w:jc w:val="left"/>
      </w:pPr>
      <w:r>
        <w:rPr>
          <w:rFonts w:ascii="Arial" w:hAnsi="Arial" w:eastAsia="Arial"/>
          <w:b w:val="0"/>
          <w:i w:val="0"/>
          <w:color w:val="4B5563"/>
          <w:sz w:val="22"/>
        </w:rPr>
        <w:t>Product founders targeting independent or chain retail.</w:t>
      </w:r>
    </w:p>
    <w:p>
      <w:pPr>
        <w:spacing w:after="40" w:before="0"/>
        <w:jc w:val="left"/>
      </w:pPr>
      <w:r>
        <w:rPr>
          <w:rFonts w:ascii="Arial" w:hAnsi="Arial" w:eastAsia="Arial"/>
          <w:b/>
          <w:i w:val="0"/>
          <w:color w:val="3978D7"/>
          <w:sz w:val="18"/>
        </w:rPr>
        <w:t>WHEN TO USE IT</w:t>
      </w:r>
    </w:p>
    <w:p>
      <w:pPr>
        <w:spacing w:after="200" w:before="0"/>
        <w:jc w:val="left"/>
      </w:pPr>
      <w:r>
        <w:rPr>
          <w:rFonts w:ascii="Arial" w:hAnsi="Arial" w:eastAsia="Arial"/>
          <w:b w:val="0"/>
          <w:i w:val="0"/>
          <w:color w:val="4B5563"/>
          <w:sz w:val="22"/>
        </w:rPr>
        <w:t>Before pitching any retailer on a trial.</w:t>
      </w:r>
    </w:p>
    <w:p>
      <w:pPr>
        <w:spacing w:after="40" w:before="0"/>
        <w:jc w:val="left"/>
      </w:pPr>
      <w:r>
        <w:rPr>
          <w:rFonts w:ascii="Arial" w:hAnsi="Arial" w:eastAsia="Arial"/>
          <w:b/>
          <w:i w:val="0"/>
          <w:color w:val="3978D7"/>
          <w:sz w:val="18"/>
        </w:rPr>
        <w:t>WHAT IT PRODUCES</w:t>
      </w:r>
    </w:p>
    <w:p>
      <w:pPr>
        <w:spacing w:after="200" w:before="0"/>
        <w:jc w:val="left"/>
      </w:pPr>
      <w:r>
        <w:rPr>
          <w:rFonts w:ascii="Arial" w:hAnsi="Arial" w:eastAsia="Arial"/>
          <w:b w:val="0"/>
          <w:i w:val="0"/>
          <w:color w:val="4B5563"/>
          <w:sz w:val="22"/>
        </w:rPr>
        <w:t>A clear picture of the retail-trial path and what it requires.</w:t>
      </w:r>
    </w:p>
    <w:p>
      <w:pPr>
        <w:spacing w:after="40" w:before="0"/>
        <w:jc w:val="left"/>
      </w:pPr>
      <w:r>
        <w:rPr>
          <w:rFonts w:ascii="Arial" w:hAnsi="Arial" w:eastAsia="Arial"/>
          <w:b/>
          <w:i w:val="0"/>
          <w:color w:val="3978D7"/>
          <w:sz w:val="18"/>
        </w:rPr>
        <w:t>NEXT STEP INSIDE THE ECOSYSTEM</w:t>
      </w:r>
    </w:p>
    <w:p>
      <w:pPr>
        <w:spacing w:after="320" w:before="0"/>
        <w:jc w:val="left"/>
      </w:pPr>
      <w:r>
        <w:rPr>
          <w:rFonts w:ascii="Arial" w:hAnsi="Arial" w:eastAsia="Arial"/>
          <w:b w:val="0"/>
          <w:i w:val="0"/>
          <w:color w:val="4B5563"/>
          <w:sz w:val="22"/>
        </w:rPr>
        <w:t>Use the Template Pack (RET-02) and Intake &amp; Delivery Worksheet (RET-03) when a retailer conversation turns real. VGP runs Retail Trial Creator as a guided engagement when you want it managed for you.</w:t>
      </w:r>
    </w:p>
    <w:p>
      <w:pPr>
        <w:spacing w:after="160" w:before="0"/>
        <w:jc w:val="left"/>
      </w:pPr>
      <w:r>
        <w:rPr>
          <w:rFonts w:ascii="Arial" w:hAnsi="Arial" w:eastAsia="Arial"/>
          <w:b w:val="0"/>
          <w:i/>
          <w:color w:val="4B5563"/>
          <w:sz w:val="18"/>
        </w:rPr>
        <w:t>© 2026 Value Growth Partners. Provided to Founder Network members for their own use. Not legal, financial, investment, or tax advice. Do not redistribute, resell, or share outside your organization.</w:t>
      </w:r>
    </w:p>
    <w:p>
      <w:pPr>
        <w:spacing w:after="120" w:before="0"/>
        <w:jc w:val="left"/>
      </w:pPr>
      <w:r>
        <w:rPr>
          <w:rFonts w:ascii="Arial" w:hAnsi="Arial" w:eastAsia="Arial"/>
          <w:b w:val="0"/>
          <w:i/>
          <w:color w:val="4B5563"/>
          <w:sz w:val="18"/>
        </w:rPr>
        <w:t>Retail and buyer guidance is educational and does not guarantee placement, buyer meetings, or commercial outcomes.</w:t>
      </w:r>
    </w:p>
    <w:p>
      <w:pPr>
        <w:spacing w:after="0" w:before="280"/>
        <w:jc w:val="left"/>
      </w:pPr>
      <w:r>
        <w:rPr>
          <w:rFonts w:ascii="Arial" w:hAnsi="Arial" w:eastAsia="Arial"/>
          <w:b/>
          <w:i w:val="0"/>
          <w:color w:val="071E41"/>
          <w:sz w:val="20"/>
        </w:rPr>
        <w:t>THE BRAND BLUEPRINT  ·  Powered by Value Growth Partners  ·  Growth OS</w:t>
      </w:r>
    </w:p>
    <w:p>
      <w:pPr>
        <w:spacing w:after="120" w:before="0"/>
        <w:jc w:val="left"/>
      </w:pPr>
      <w:r>
        <w:br w:type="page"/>
      </w:r>
    </w:p>
    <w:p>
      <w:pPr>
        <w:jc w:val="left"/>
      </w:pPr>
      <w:r>
        <w:rPr>
          <w:b/>
          <w:color w:val="214F7A"/>
          <w:sz w:val="18"/>
        </w:rPr>
        <w:t>VALUE GROWTH PARTNERS</w:t>
      </w:r>
    </w:p>
    <w:p>
      <w:pPr>
        <w:pStyle w:val="Title"/>
        <w:spacing w:after="40"/>
      </w:pPr>
      <w:r>
        <w:t>Retail Trial Creator Activation System</w:t>
      </w:r>
    </w:p>
    <w:p>
      <w:pPr>
        <w:pStyle w:val="Subtitle"/>
        <w:spacing w:after="240"/>
      </w:pPr>
      <w:r>
        <w:t>A packaged service framework for emerging brands using local micro-influencers to drive in-store trial, retail velocity, and reusable content.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DF2F7"/>
          </w:tcPr>
          <w:p>
            <w:r>
              <w:rPr>
                <w:b/>
                <w:sz w:val="21"/>
              </w:rPr>
              <w:t>System package: Micro-Influencer + Local Retail Trial Engine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7FAFC"/>
          </w:tcPr>
          <w:p>
            <w:pPr>
              <w:jc w:val="center"/>
            </w:pPr>
            <w:r>
              <w:rPr>
                <w:b/>
                <w:color w:val="2E7D32"/>
                <w:sz w:val="20"/>
              </w:rPr>
              <w:t>Client Ready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214F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  <w:sz w:val="21"/>
              </w:rPr>
              <w:t>What this system does</w:t>
            </w:r>
          </w:p>
        </w:tc>
      </w:tr>
    </w:tbl>
    <w:p>
      <w:r>
        <w:t>This Value Growth Partners system helps founder-led brands turn a local retail trial event into a measurable mini-campaign that creates sales, shopper feedback, social proof, and buyer-ready evidence. The model combines local retail sampling or trial events with a curated micro-influencer roster, lightweight tracking, and structured post-event reporting.</w:t>
      </w:r>
    </w:p>
    <w:p>
      <w:pPr>
        <w:pStyle w:val="Heading1"/>
      </w:pPr>
      <w:r>
        <w:t>Offer Snapshot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  <w:shd w:fill="214F7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6912"/>
            <w:shd w:fill="214F7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Core objective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Drive immediate trial and conversion in a local retail environment while generating reusable creator content and velocity signals for future buyer conversations.</w:t>
            </w:r>
          </w:p>
        </w:tc>
      </w:tr>
      <w:t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Best fit brands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Emerging CPG, beauty, wellness, personal care, specialty food, beverage, and founder-led consumer brands entering or expanding in brick-and-mortar retail.</w:t>
            </w:r>
          </w:p>
        </w:tc>
      </w:tr>
      <w:t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Typical pilot scope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One market, one to three stores, five to twelve local creators, two to four event windows, and a seven-day readout.</w:t>
            </w:r>
          </w:p>
        </w:tc>
      </w:tr>
      <w:t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What clients receive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Strategy, creator brief, outreach support, event architecture, offer design, tracking structure, recap framework, and optional execution coaching.</w:t>
            </w:r>
          </w:p>
        </w:tc>
      </w:tr>
      <w:tr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</w:rPr>
              <w:t>Primary business outcomes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Units sold, sample-to-sale conversion, content volume, creator views/engagement, coupon redemption, shopper feedback, and retailer-ready case study material.</w:t>
            </w:r>
          </w:p>
        </w:tc>
      </w:tr>
    </w:tbl>
    <w:p/>
    <w:p>
      <w:pPr>
        <w:pStyle w:val="Heading1"/>
      </w:pPr>
      <w:r>
        <w:t>Why clients buy this</w:t>
      </w:r>
    </w:p>
    <w:p>
      <w:pPr>
        <w:spacing w:after="80"/>
        <w:ind w:left="0"/>
      </w:pPr>
      <w:r>
        <w:rPr>
          <w:b/>
        </w:rPr>
        <w:t xml:space="preserve">• </w:t>
      </w:r>
      <w:r>
        <w:t>It gives early-stage brands a practical way to test local awareness and demand before committing to large-scale spend.</w:t>
      </w:r>
    </w:p>
    <w:p>
      <w:pPr>
        <w:spacing w:after="80"/>
        <w:ind w:left="0"/>
      </w:pPr>
      <w:r>
        <w:rPr>
          <w:b/>
        </w:rPr>
        <w:t xml:space="preserve">• </w:t>
      </w:r>
      <w:r>
        <w:t>It creates both conversion activity and content output in the same activation instead of treating influencer activity and retail marketing as separate workstreams.</w:t>
      </w:r>
    </w:p>
    <w:p>
      <w:pPr>
        <w:spacing w:after="80"/>
        <w:ind w:left="0"/>
      </w:pPr>
      <w:r>
        <w:rPr>
          <w:b/>
        </w:rPr>
        <w:t xml:space="preserve">• </w:t>
      </w:r>
      <w:r>
        <w:t>It produces evidence a buyer can understand quickly: traffic, trial, conversion, shopper response, and post-event uplift.</w:t>
      </w:r>
    </w:p>
    <w:p>
      <w:pPr>
        <w:spacing w:after="80"/>
        <w:ind w:left="0"/>
      </w:pPr>
      <w:r>
        <w:rPr>
          <w:b/>
        </w:rPr>
        <w:t xml:space="preserve">• </w:t>
      </w:r>
      <w:r>
        <w:t>It is modular enough to fit a founder budget while still looking disciplined and buyer-ready.</w:t>
      </w:r>
    </w:p>
    <w:p>
      <w:pPr>
        <w:pStyle w:val="Heading1"/>
      </w:pPr>
      <w:r>
        <w:t>System Architecture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88"/>
            <w:shd w:fill="214F7A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Workstream</w:t>
            </w:r>
          </w:p>
        </w:tc>
        <w:tc>
          <w:tcPr>
            <w:tcW w:type="dxa" w:w="4824"/>
            <w:shd w:fill="214F7A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3168"/>
            <w:shd w:fill="214F7A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Primary Output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Market + store selection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Choose the right retail environment and event footprint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Store shortlist and event calendar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Creator sourcing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Identify local, relevant, affordable creators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Shortlist, outreach tracker, booking plan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Offer + event design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Create the conversion mechanic at shelf or demo table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Coupon, bundle, script, signage plan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Content capture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Generate useful creator and shopper assets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Stories, short-form video, stills, testimonials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Measurement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Track sales, scans, redemptions, and content performance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Attribution dashboard and pilot recap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Retail storytelling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Translate pilot results into sales narrative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Buyer one-pager and case-study summary</w:t>
            </w:r>
          </w:p>
        </w:tc>
      </w:tr>
    </w:tbl>
    <w:p/>
    <w:p>
      <w:pPr>
        <w:pStyle w:val="Heading1"/>
      </w:pPr>
      <w:r>
        <w:t>Recommended Engagement Structure</w:t>
      </w:r>
    </w:p>
    <w:p>
      <w:pPr>
        <w:spacing w:after="80"/>
        <w:ind w:left="0"/>
      </w:pPr>
      <w:r>
        <w:rPr>
          <w:b/>
        </w:rPr>
        <w:t xml:space="preserve">• </w:t>
      </w:r>
      <w:r>
        <w:t>Phase 1: Planning and setup - event scope, store coordination, creator criteria, offer architecture, tracking design.</w:t>
      </w:r>
    </w:p>
    <w:p>
      <w:pPr>
        <w:spacing w:after="80"/>
        <w:ind w:left="0"/>
      </w:pPr>
      <w:r>
        <w:rPr>
          <w:b/>
        </w:rPr>
        <w:t xml:space="preserve">• </w:t>
      </w:r>
      <w:r>
        <w:t>Phase 2: Activation support - live event management guidance, creator coordination, content capture discipline, field issue resolution.</w:t>
      </w:r>
    </w:p>
    <w:p>
      <w:pPr>
        <w:spacing w:after="80"/>
        <w:ind w:left="0"/>
      </w:pPr>
      <w:r>
        <w:rPr>
          <w:b/>
        </w:rPr>
        <w:t xml:space="preserve">• </w:t>
      </w:r>
      <w:r>
        <w:t>Phase 3: Readout and next-step strategy - results summary, buyer story, repeatability recommendations, market expansion plan.</w:t>
      </w:r>
    </w:p>
    <w:p>
      <w:pPr>
        <w:pStyle w:val="Heading1"/>
      </w:pPr>
      <w:r>
        <w:t>Suggested Positioning Language for Client Proposals</w:t>
      </w:r>
    </w:p>
    <w:p>
      <w:pPr>
        <w:spacing w:before="80" w:after="160"/>
        <w:ind w:left="432" w:right="432"/>
      </w:pPr>
      <w:r>
        <w:rPr>
          <w:i/>
        </w:rPr>
        <w:t>We help brands convert local retail trial into measurable traction by pairing community-based micro-influencers with disciplined in-store activation, content capture, and buyer-ready reporting.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 w:eastAsia="Arial"/>
        <w:b w:val="0"/>
        <w:i w:val="0"/>
        <w:color w:val="4B5563"/>
        <w:sz w:val="16"/>
      </w:rPr>
      <w:t xml:space="preserve">© 2026 Value Growth Partners · Founder Network member resource · Not for redistribution · Page </w:t>
    </w:r>
    <w:r>
      <w:rPr>
        <w:rFonts w:ascii="Arial" w:hAnsi="Arial" w:eastAsia="Arial"/>
        <w:b w:val="0"/>
        <w:i w:val="0"/>
        <w:color w:val="4B5563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14F7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14F7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D374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214F7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2D3748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