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1E41" w:color="auto" w:val="clear"/>
            <w:tcMar>
              <w:top w:type="dxa" w:w="620"/>
              <w:left w:type="dxa" w:w="460"/>
              <w:bottom w:type="dxa" w:w="620"/>
              <w:right w:type="dxa" w:w="460"/>
            </w:tcMar>
          </w:tcPr>
          <w:p>
            <w:pPr>
              <w:spacing w:after="260"/>
            </w:pPr>
            <w:r>
              <w:rPr>
                <w:rFonts w:ascii="Arial" w:cs="Arial" w:eastAsia="Arial" w:hAnsi="Arial"/>
                <w:b/>
                <w:bCs/>
                <w:color w:val="C89B2C"/>
                <w:spacing w:val="34"/>
                <w:sz w:val="15"/>
                <w:szCs w:val="15"/>
              </w:rPr>
              <w:t xml:space="preserve">CONCEPT DEVELOPMENT · DISCUSSION BRIEF</w:t>
            </w:r>
          </w:p>
          <w:p>
            <w:pPr>
              <w:spacing w:after="40" w:line="400"/>
            </w:pPr>
            <w:r>
              <w:rPr>
                <w:rFonts w:ascii="Cambria" w:cs="Cambria" w:eastAsia="Cambria" w:hAnsi="Cambria"/>
                <w:color w:val="FFFFFF"/>
                <w:sz w:val="46"/>
                <w:szCs w:val="46"/>
              </w:rPr>
              <w:t xml:space="preserve">Ascend Family Vault</w:t>
            </w:r>
          </w:p>
          <w:p>
            <w:pPr>
              <w:spacing w:after="240" w:line="400"/>
            </w:pPr>
            <w:r>
              <w:rPr>
                <w:rFonts w:ascii="Cambria" w:cs="Cambria" w:eastAsia="Cambria" w:hAnsi="Cambria"/>
                <w:color w:val="FFFFFF"/>
                <w:sz w:val="46"/>
                <w:szCs w:val="46"/>
              </w:rPr>
              <w:t xml:space="preserve">Working Session Brief</w:t>
            </w:r>
          </w:p>
          <w:p>
            <w:pPr>
              <w:spacing w:after="330" w:line="320"/>
            </w:pPr>
            <w:r>
              <w:rPr>
                <w:rFonts w:ascii="Arial" w:cs="Arial" w:eastAsia="Arial" w:hAnsi="Arial"/>
                <w:color w:val="C7D6EE"/>
                <w:sz w:val="20"/>
                <w:szCs w:val="20"/>
              </w:rPr>
              <w:t xml:space="preserve">A focused guide for clarifying the opportunity, choosing the first validation lane, and setting responsible product boundaries before build money is committed.</w:t>
            </w:r>
          </w:p>
          <w:p>
            <w:pPr>
              <w:pBdr>
                <w:top w:val="single" w:color="1E3C63" w:sz="4"/>
              </w:pBdr>
              <w:spacing w:after="0" w:line="300"/>
            </w:pPr>
          </w:p>
          <w:p>
            <w:pPr>
              <w:tabs>
                <w:tab w:val="left" w:pos="2150"/>
              </w:tabs>
              <w:spacing w:after="0" w:before="190" w:line="280"/>
              <w:ind w:left="2150" w:hanging="2150"/>
            </w:pPr>
            <w:r>
              <w:rPr>
                <w:rFonts w:ascii="Arial" w:cs="Arial" w:eastAsia="Arial" w:hAnsi="Arial"/>
                <w:b/>
                <w:bCs/>
                <w:color w:val="8FA9CC"/>
                <w:spacing w:val="20"/>
                <w:sz w:val="14"/>
                <w:szCs w:val="14"/>
              </w:rPr>
              <w:t xml:space="preserve">PREPARED FOR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	Eric Rice, Isaiah Harrison and the Ascend Family Vault project team</w:t>
            </w:r>
          </w:p>
          <w:p>
            <w:pPr>
              <w:tabs>
                <w:tab w:val="left" w:pos="2150"/>
              </w:tabs>
              <w:spacing w:after="0" w:before="190" w:line="280"/>
              <w:ind w:left="2150" w:hanging="2150"/>
            </w:pPr>
            <w:r>
              <w:rPr>
                <w:rFonts w:ascii="Arial" w:cs="Arial" w:eastAsia="Arial" w:hAnsi="Arial"/>
                <w:b/>
                <w:bCs/>
                <w:color w:val="8FA9CC"/>
                <w:spacing w:val="20"/>
                <w:sz w:val="14"/>
                <w:szCs w:val="14"/>
              </w:rPr>
              <w:t xml:space="preserve">PREPARED BY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	Dana Ammons · Value Growth Partners</w:t>
            </w:r>
          </w:p>
          <w:p>
            <w:pPr>
              <w:tabs>
                <w:tab w:val="left" w:pos="2150"/>
              </w:tabs>
              <w:spacing w:after="0" w:before="190" w:line="280"/>
              <w:ind w:left="2150" w:hanging="2150"/>
            </w:pPr>
            <w:r>
              <w:rPr>
                <w:rFonts w:ascii="Arial" w:cs="Arial" w:eastAsia="Arial" w:hAnsi="Arial"/>
                <w:b/>
                <w:bCs/>
                <w:color w:val="8FA9CC"/>
                <w:spacing w:val="20"/>
                <w:sz w:val="14"/>
                <w:szCs w:val="14"/>
              </w:rPr>
              <w:t xml:space="preserve">WORKING SESSION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	Thursday, August 27, 2026 · 1:30–3:30 PM ET · optional extension to 4:30 PM ET</w:t>
            </w:r>
          </w:p>
          <w:p>
            <w:pPr>
              <w:tabs>
                <w:tab w:val="left" w:pos="2150"/>
              </w:tabs>
              <w:spacing w:after="0" w:before="190" w:line="280"/>
              <w:ind w:left="2150" w:hanging="2150"/>
            </w:pPr>
            <w:r>
              <w:rPr>
                <w:rFonts w:ascii="Arial" w:cs="Arial" w:eastAsia="Arial" w:hAnsi="Arial"/>
                <w:b/>
                <w:bCs/>
                <w:color w:val="8FA9CC"/>
                <w:spacing w:val="20"/>
                <w:sz w:val="14"/>
                <w:szCs w:val="14"/>
              </w:rPr>
              <w:t xml:space="preserve">VERSION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	Updated working draft · August 27, 2026</w:t>
            </w:r>
          </w:p>
        </w:tc>
      </w:tr>
    </w:tbl>
    <w:p>
      <w:pPr>
        <w:spacing w:after="2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E6FF" w:sz="2"/>
              <w:left w:val="single" w:color="D8E6FF" w:sz="2"/>
              <w:bottom w:val="single" w:color="D8E6FF" w:sz="2"/>
              <w:right w:val="single" w:color="D8E6FF" w:sz="2"/>
            </w:tcBorders>
            <w:shd w:fill="EFF5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C89B2C"/>
                <w:spacing w:val="24"/>
                <w:sz w:val="14"/>
                <w:szCs w:val="14"/>
              </w:rPr>
              <w:t xml:space="preserve">EXECUTIVE PURPOSE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0B2D57"/>
                <w:sz w:val="19"/>
                <w:szCs w:val="19"/>
              </w:rPr>
              <w:t xml:space="preserve">Give Eric, his project teammate and Dana a shared starting point for the August 27 working session — without treating early strategy hypotheses as final product decisions.</w:t>
            </w:r>
          </w:p>
        </w:tc>
      </w:tr>
    </w:tbl>
    <w:p>
      <w:pPr>
        <w:spacing w:after="2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60" w:line="250"/>
            </w:pPr>
            <w:r>
              <w:rPr>
                <w:rFonts w:ascii="Cambria" w:cs="Cambria" w:eastAsia="Cambria" w:hAnsi="Cambria"/>
                <w:color w:val="071E41"/>
                <w:sz w:val="30"/>
                <w:szCs w:val="30"/>
              </w:rPr>
              <w:t xml:space="preserve">1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8"/>
                <w:sz w:val="13"/>
                <w:szCs w:val="13"/>
              </w:rPr>
              <w:t xml:space="preserve">LEAD CUSTOMER</w:t>
            </w:r>
          </w:p>
        </w:tc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60" w:line="250"/>
            </w:pPr>
            <w:r>
              <w:rPr>
                <w:rFonts w:ascii="Cambria" w:cs="Cambria" w:eastAsia="Cambria" w:hAnsi="Cambria"/>
                <w:color w:val="071E41"/>
                <w:sz w:val="30"/>
                <w:szCs w:val="30"/>
              </w:rPr>
              <w:t xml:space="preserve">1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8"/>
                <w:sz w:val="13"/>
                <w:szCs w:val="13"/>
              </w:rPr>
              <w:t xml:space="preserve">LEAD WORKFLOW</w:t>
            </w:r>
          </w:p>
        </w:tc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60" w:line="250"/>
            </w:pPr>
            <w:r>
              <w:rPr>
                <w:rFonts w:ascii="Cambria" w:cs="Cambria" w:eastAsia="Cambria" w:hAnsi="Cambria"/>
                <w:color w:val="071E41"/>
                <w:sz w:val="30"/>
                <w:szCs w:val="30"/>
              </w:rPr>
              <w:t xml:space="preserve">90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8"/>
                <w:sz w:val="13"/>
                <w:szCs w:val="13"/>
              </w:rPr>
              <w:t xml:space="preserve">DAY VALIDATION WINDOW</w:t>
            </w:r>
          </w:p>
        </w:tc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60" w:line="250"/>
            </w:pPr>
            <w:r>
              <w:rPr>
                <w:rFonts w:ascii="Cambria" w:cs="Cambria" w:eastAsia="Cambria" w:hAnsi="Cambria"/>
                <w:color w:val="071E41"/>
                <w:sz w:val="30"/>
                <w:szCs w:val="30"/>
              </w:rPr>
              <w:t xml:space="preserve">7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8"/>
                <w:sz w:val="13"/>
                <w:szCs w:val="13"/>
              </w:rPr>
              <w:t xml:space="preserve">DAY COMMITMENT LIST</w:t>
            </w:r>
          </w:p>
        </w:tc>
      </w:tr>
    </w:tbl>
    <w:p>
      <w:pPr>
        <w:keepNext/>
        <w:pBdr>
          <w:bottom w:val="single" w:color="E5EAF2" w:sz="4"/>
        </w:pBdr>
        <w:spacing w:after="300" w:before="340"/>
      </w:pPr>
    </w:p>
    <w:p>
      <w:pPr>
        <w:keepNext/>
        <w:keepLines/>
        <w:spacing w:after="90" w:before="0"/>
      </w:pPr>
      <w:r>
        <w:rPr>
          <w:rFonts w:ascii="Arial" w:cs="Arial" w:eastAsia="Arial" w:hAnsi="Arial"/>
          <w:b/>
          <w:bCs/>
          <w:color w:val="C89B2C"/>
          <w:spacing w:val="26"/>
          <w:sz w:val="15"/>
          <w:szCs w:val="15"/>
        </w:rPr>
        <w:t xml:space="preserve">WORKING CONTEXT</w:t>
      </w:r>
    </w:p>
    <w:p>
      <w:pPr>
        <w:pStyle w:val="Heading1"/>
        <w:keepNext/>
        <w:keepLines/>
        <w:spacing w:after="150" w:before="40"/>
      </w:pPr>
      <w:r>
        <w:rPr>
          <w:rFonts w:ascii="Cambria" w:cs="Cambria" w:eastAsia="Cambria" w:hAnsi="Cambria"/>
          <w:color w:val="071E41"/>
          <w:sz w:val="40"/>
          <w:szCs w:val="40"/>
        </w:rPr>
        <w:t xml:space="preserve">What Eric Confirmed, and What We Need to Decide</w:t>
      </w:r>
    </w:p>
    <w:p>
      <w:pPr>
        <w:spacing w:after="20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Ascend began with a real family challenge: coordinating decisions, work, payments and progress around inherited land shared across many relatives. Eric’s follow-up clarifies that the current site can create and partly configure projects, while payments, vaults, documents and estate functions remain unbuilt. It also gives us a concrete Class of 1997 graduation-box opportunity to evaluate as an initial commercial pilot.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E6FF" w:sz="2"/>
              <w:left w:val="single" w:color="D8E6FF" w:sz="2"/>
              <w:bottom w:val="single" w:color="D8E6FF" w:sz="2"/>
              <w:right w:val="single" w:color="D8E6FF" w:sz="2"/>
            </w:tcBorders>
            <w:shd w:fill="EFF5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C89B2C"/>
                <w:spacing w:val="24"/>
                <w:sz w:val="14"/>
                <w:szCs w:val="14"/>
              </w:rPr>
              <w:t xml:space="preserve">WORKING HYPOTHESIS FOR DISCUSSION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0B2D57"/>
                <w:sz w:val="19"/>
                <w:szCs w:val="19"/>
              </w:rPr>
              <w:t xml:space="preserve">Ascend may be most valuable as a transparent shared-project operating system that helps organizers coordinate people, commitments, tasks, approvals, budgets and progress. This hypothesis still requires founder, customer and market validation.</w:t>
            </w:r>
          </w:p>
        </w:tc>
      </w:tr>
    </w:tbl>
    <w:p>
      <w:pPr>
        <w:pStyle w:val="Heading2"/>
        <w:keepNext/>
        <w:keepLines/>
        <w:spacing w:after="130" w:before="34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Confirmed inputs for today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2"/>
        <w:gridCol w:w="4069"/>
        <w:gridCol w:w="4069"/>
      </w:tblGrid>
      <w:tr>
        <w:trPr>
          <w:tblHeader/>
        </w:trPr>
        <w:tc>
          <w:tcPr>
            <w:tcW w:type="dxa" w:w="1942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AREA</w:t>
            </w:r>
          </w:p>
        </w:tc>
        <w:tc>
          <w:tcPr>
            <w:tcW w:type="dxa" w:w="4069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WHAT IS CONFIRMED</w:t>
            </w:r>
          </w:p>
        </w:tc>
        <w:tc>
          <w:tcPr>
            <w:tcW w:type="dxa" w:w="4069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DECISION TODAY</w:t>
            </w:r>
          </w:p>
        </w:tc>
      </w:tr>
      <w:tr>
        <w:tc>
          <w:tcPr>
            <w:tcW w:type="dxa" w:w="194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Prototype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Projects can be created and partly configured; app email is available.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Stabilize or rebuild — and select the first complete workflow.</w:t>
            </w:r>
          </w:p>
        </w:tc>
      </w:tr>
      <w:tr>
        <w:tc>
          <w:tcPr>
            <w:tcW w:type="dxa" w:w="194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High-risk functions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Stripe, vaults, documents and estate functions do not work.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Keep out of the pilot; define the partner and compliance path.</w:t>
            </w:r>
          </w:p>
        </w:tc>
      </w:tr>
      <w:tr>
        <w:tc>
          <w:tcPr>
            <w:tcW w:type="dxa" w:w="194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Oklahoma case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Family agreement is not secured; pushback is expected.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 a consent test and project charter, not a fundraising request.</w:t>
            </w:r>
          </w:p>
        </w:tc>
      </w:tr>
      <w:tr>
        <w:tc>
          <w:tcPr>
            <w:tcW w:type="dxa" w:w="194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Homecoming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3.5-month sourcing cycle; Eric fronts funds and negotiates overseas.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Set deposits, a landed-cost model, QA standards and workload rules.</w:t>
            </w:r>
          </w:p>
        </w:tc>
      </w:tr>
      <w:tr>
        <w:tc>
          <w:tcPr>
            <w:tcW w:type="dxa" w:w="194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Class of 1997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$75 box concept accepted; roughly $50 of product ideas; a minimum applies.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Confirm quantity, full cost, approvals, licensing and terms.</w:t>
            </w:r>
          </w:p>
        </w:tc>
      </w:tr>
      <w:tr>
        <w:tc>
          <w:tcPr>
            <w:tcW w:type="dxa" w:w="194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Team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Isaiah: business and software adviser, 1+ hour weekly. Serena: observer.</w:t>
            </w:r>
          </w:p>
        </w:tc>
        <w:tc>
          <w:tcPr>
            <w:tcW w:type="dxa" w:w="406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Confirm technical accountability, IP, capacity and access.</w:t>
            </w:r>
          </w:p>
        </w:tc>
      </w:tr>
    </w:tbl>
    <w:p>
      <w:pPr>
        <w:pStyle w:val="Heading2"/>
        <w:keepNext/>
        <w:keepLines/>
        <w:spacing w:after="130" w:before="34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Potential opportunity structure</w:t>
      </w:r>
    </w:p>
    <w:p>
      <w:pPr>
        <w:spacing w:after="170" w:line="30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One shared engine, expressed two ways. The value of this framing is that it lets us test two markets without building two products.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3402"/>
        <w:gridCol w:w="3528"/>
      </w:tblGrid>
      <w:tr>
        <w:trPr>
          <w:tblHeader/>
        </w:trPr>
        <w:tc>
          <w:tcPr>
            <w:tcW w:type="dxa" w:w="315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COMMON PLATFORM ENGINE</w:t>
            </w:r>
          </w:p>
        </w:tc>
        <w:tc>
          <w:tcPr>
            <w:tcW w:type="dxa" w:w="3402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FAMILY PROJECT APPLICATION</w:t>
            </w:r>
          </w:p>
        </w:tc>
        <w:tc>
          <w:tcPr>
            <w:tcW w:type="dxa" w:w="3528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REUNION AND HOMECOMING APPLICATION</w:t>
            </w:r>
          </w:p>
        </w:tc>
      </w:tr>
      <w:tr>
        <w:tc>
          <w:tcPr>
            <w:tcW w:type="dxa" w:w="315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Project goal, budget and milestones</w:t>
            </w:r>
          </w:p>
        </w:tc>
        <w:tc>
          <w:tcPr>
            <w:tcW w:type="dxa" w:w="340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Property improvement, maintenance or a family fund.</w:t>
            </w:r>
          </w:p>
        </w:tc>
        <w:tc>
          <w:tcPr>
            <w:tcW w:type="dxa" w:w="35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Tent, hospitality, travel, swag or class activity.</w:t>
            </w:r>
          </w:p>
        </w:tc>
      </w:tr>
      <w:tr>
        <w:tc>
          <w:tcPr>
            <w:tcW w:type="dxa" w:w="315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Roles, tasks and approvals</w:t>
            </w:r>
          </w:p>
        </w:tc>
        <w:tc>
          <w:tcPr>
            <w:tcW w:type="dxa" w:w="340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Family committee, relatives, contractors and advisers.</w:t>
            </w:r>
          </w:p>
        </w:tc>
        <w:tc>
          <w:tcPr>
            <w:tcW w:type="dxa" w:w="35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Class committee, volunteers, vendors and participants.</w:t>
            </w:r>
          </w:p>
        </w:tc>
      </w:tr>
      <w:tr>
        <w:tc>
          <w:tcPr>
            <w:tcW w:type="dxa" w:w="315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Contribution and expense visibility</w:t>
            </w:r>
          </w:p>
        </w:tc>
        <w:tc>
          <w:tcPr>
            <w:tcW w:type="dxa" w:w="340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Commitments, approved spending and progress reporting.</w:t>
            </w:r>
          </w:p>
        </w:tc>
        <w:tc>
          <w:tcPr>
            <w:tcW w:type="dxa" w:w="35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Deposits, package status, supplier costs and reconciliation.</w:t>
            </w:r>
          </w:p>
        </w:tc>
      </w:tr>
      <w:tr>
        <w:tc>
          <w:tcPr>
            <w:tcW w:type="dxa" w:w="315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Permissioned partner access</w:t>
            </w:r>
          </w:p>
        </w:tc>
        <w:tc>
          <w:tcPr>
            <w:tcW w:type="dxa" w:w="340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Legal, title, contractor, banking or insurance resources.</w:t>
            </w:r>
          </w:p>
        </w:tc>
        <w:tc>
          <w:tcPr>
            <w:tcW w:type="dxa" w:w="35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Licensed vendors, venues, travel, merchandise and sponsors.</w:t>
            </w:r>
          </w:p>
        </w:tc>
      </w:tr>
    </w:tbl>
    <w:p>
      <w:pPr>
        <w:pStyle w:val="Heading2"/>
        <w:keepNext/>
        <w:keepLines/>
        <w:spacing w:after="130" w:before="34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Questions this session should answer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Which customer and project type experience the strongest and most frequent pain?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What does the existing product do today, and what remains a future concept?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Which workflow would create enough value for an organizer or group to pay?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Can one common engine support the family land and reunion opportunities without forcing both into the same launch?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What should Ascend deliberately exclude during the first 90 days?</w:t>
      </w:r>
    </w:p>
    <w:p>
      <w:pPr>
        <w:keepNext/>
        <w:keepLines/>
        <w:pageBreakBefore/>
        <w:spacing w:after="90" w:before="0"/>
      </w:pPr>
      <w:r>
        <w:rPr>
          <w:rFonts w:ascii="Arial" w:cs="Arial" w:eastAsia="Arial" w:hAnsi="Arial"/>
          <w:b/>
          <w:bCs/>
          <w:color w:val="C89B2C"/>
          <w:spacing w:val="26"/>
          <w:sz w:val="15"/>
          <w:szCs w:val="15"/>
        </w:rPr>
        <w:t xml:space="preserve">PROPOSED SESSION</w:t>
      </w:r>
    </w:p>
    <w:p>
      <w:pPr>
        <w:pStyle w:val="Heading1"/>
        <w:keepNext/>
        <w:keepLines/>
        <w:spacing w:after="150" w:before="40"/>
      </w:pPr>
      <w:r>
        <w:rPr>
          <w:rFonts w:ascii="Cambria" w:cs="Cambria" w:eastAsia="Cambria" w:hAnsi="Cambria"/>
          <w:color w:val="071E41"/>
          <w:sz w:val="40"/>
          <w:szCs w:val="40"/>
        </w:rPr>
        <w:t xml:space="preserve">August 27 Working Agenda</w:t>
      </w:r>
    </w:p>
    <w:p>
      <w:pPr>
        <w:spacing w:after="20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 two-hour decision session, with an optional additional hour for product and engagement planning.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1"/>
        <w:gridCol w:w="3580"/>
        <w:gridCol w:w="4899"/>
      </w:tblGrid>
      <w:tr>
        <w:trPr>
          <w:tblHeader/>
        </w:trPr>
        <w:tc>
          <w:tcPr>
            <w:tcW w:type="dxa" w:w="1601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TIME (ET)</w:t>
            </w:r>
          </w:p>
        </w:tc>
        <w:tc>
          <w:tcPr>
            <w:tcW w:type="dxa" w:w="358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TOPIC</w:t>
            </w:r>
          </w:p>
        </w:tc>
        <w:tc>
          <w:tcPr>
            <w:tcW w:type="dxa" w:w="4899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DESIRED OUTCOME</w:t>
            </w:r>
          </w:p>
        </w:tc>
      </w:tr>
      <w:tr>
        <w:tc>
          <w:tcPr>
            <w:tcW w:type="dxa" w:w="160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1:30 – 1:40</w:t>
            </w:r>
          </w:p>
        </w:tc>
        <w:tc>
          <w:tcPr>
            <w:tcW w:type="dxa" w:w="35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Opening, objectives and team roles</w:t>
            </w:r>
          </w:p>
        </w:tc>
        <w:tc>
          <w:tcPr>
            <w:tcW w:type="dxa" w:w="489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Confirm Eric, Isaiah, Dana and Serena’s roles, decision rights and the decisions required today.</w:t>
            </w:r>
          </w:p>
        </w:tc>
      </w:tr>
      <w:tr>
        <w:tc>
          <w:tcPr>
            <w:tcW w:type="dxa" w:w="160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1:40 – 2:00</w:t>
            </w:r>
          </w:p>
        </w:tc>
        <w:tc>
          <w:tcPr>
            <w:tcW w:type="dxa" w:w="35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Origin story and problem anatomy</w:t>
            </w:r>
          </w:p>
        </w:tc>
        <w:tc>
          <w:tcPr>
            <w:tcW w:type="dxa" w:w="489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Document the Oklahoma land case, the Homecoming operating case and the most important pain.</w:t>
            </w:r>
          </w:p>
        </w:tc>
      </w:tr>
      <w:tr>
        <w:tc>
          <w:tcPr>
            <w:tcW w:type="dxa" w:w="160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2:00 – 2:20</w:t>
            </w:r>
          </w:p>
        </w:tc>
        <w:tc>
          <w:tcPr>
            <w:tcW w:type="dxa" w:w="35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Prototype and website walkthrough</w:t>
            </w:r>
          </w:p>
        </w:tc>
        <w:tc>
          <w:tcPr>
            <w:tcW w:type="dxa" w:w="489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Separate current capabilities from mockups, assumptions and future features.</w:t>
            </w:r>
          </w:p>
        </w:tc>
      </w:tr>
      <w:tr>
        <w:tc>
          <w:tcPr>
            <w:tcW w:type="dxa" w:w="160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2:20 – 2:45</w:t>
            </w:r>
          </w:p>
        </w:tc>
        <w:tc>
          <w:tcPr>
            <w:tcW w:type="dxa" w:w="35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Market entry discussion</w:t>
            </w:r>
          </w:p>
        </w:tc>
        <w:tc>
          <w:tcPr>
            <w:tcW w:type="dxa" w:w="489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Compare family projects, reunion and Homecoming, and broader shared goals.</w:t>
            </w:r>
          </w:p>
        </w:tc>
      </w:tr>
      <w:tr>
        <w:tc>
          <w:tcPr>
            <w:tcW w:type="dxa" w:w="160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2:45 – 3:10</w:t>
            </w:r>
          </w:p>
        </w:tc>
        <w:tc>
          <w:tcPr>
            <w:tcW w:type="dxa" w:w="35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MVP boundary and business model</w:t>
            </w:r>
          </w:p>
        </w:tc>
        <w:tc>
          <w:tcPr>
            <w:tcW w:type="dxa" w:w="489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Identify the first workflow, the exclusions, the buyer and an initial revenue hypothesis.</w:t>
            </w:r>
          </w:p>
        </w:tc>
      </w:tr>
      <w:tr>
        <w:tc>
          <w:tcPr>
            <w:tcW w:type="dxa" w:w="160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3:10 – 3:25</w:t>
            </w:r>
          </w:p>
        </w:tc>
        <w:tc>
          <w:tcPr>
            <w:tcW w:type="dxa" w:w="35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90-day validation plan</w:t>
            </w:r>
          </w:p>
        </w:tc>
        <w:tc>
          <w:tcPr>
            <w:tcW w:type="dxa" w:w="489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Align on the prototype audit, family consent research, Class of 1997 pilot and success measures.</w:t>
            </w:r>
          </w:p>
        </w:tc>
      </w:tr>
      <w:tr>
        <w:tc>
          <w:tcPr>
            <w:tcW w:type="dxa" w:w="160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3:25 – 3:30</w:t>
            </w:r>
          </w:p>
        </w:tc>
        <w:tc>
          <w:tcPr>
            <w:tcW w:type="dxa" w:w="35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Commitments and close</w:t>
            </w:r>
          </w:p>
        </w:tc>
        <w:tc>
          <w:tcPr>
            <w:tcW w:type="dxa" w:w="489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Assign the next seven days of work, with owners and dates.</w:t>
            </w:r>
          </w:p>
        </w:tc>
      </w:tr>
      <w:tr>
        <w:tc>
          <w:tcPr>
            <w:tcW w:type="dxa" w:w="160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3:30 – 4:30</w:t>
            </w:r>
          </w:p>
        </w:tc>
        <w:tc>
          <w:tcPr>
            <w:tcW w:type="dxa" w:w="35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Optional extension: product, team and engagement</w:t>
            </w:r>
          </w:p>
        </w:tc>
        <w:tc>
          <w:tcPr>
            <w:tcW w:type="dxa" w:w="489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Review technical reality, capacity, cadence and working scope.</w:t>
            </w:r>
          </w:p>
        </w:tc>
      </w:tr>
    </w:tbl>
    <w:p>
      <w:pPr>
        <w:pStyle w:val="Heading2"/>
        <w:keepNext/>
        <w:keepLines/>
        <w:spacing w:after="130" w:before="34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Discussion themes we may explore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THEME</w:t>
            </w:r>
          </w:p>
        </w:tc>
        <w:tc>
          <w:tcPr>
            <w:tcW w:type="dxa" w:w="756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POTENTIAL DIRECTION TO TEST</w:t>
            </w:r>
          </w:p>
        </w:tc>
      </w:tr>
      <w:tr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Lead proving ground</w:t>
            </w:r>
          </w:p>
        </w:tc>
        <w:tc>
          <w:tcPr>
            <w:tcW w:type="dxa" w:w="756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 the reunion and Homecoming service as a faster commercial test, while the family land case informs the more complex requirements.</w:t>
            </w:r>
          </w:p>
        </w:tc>
      </w:tr>
      <w:tr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Product shape</w:t>
            </w:r>
          </w:p>
        </w:tc>
        <w:tc>
          <w:tcPr>
            <w:tcW w:type="dxa" w:w="756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Begin as a service-supported platform rather than attempting to automate every legal, financial and vendor function.</w:t>
            </w:r>
          </w:p>
        </w:tc>
      </w:tr>
      <w:tr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Trust proposition</w:t>
            </w:r>
          </w:p>
        </w:tc>
        <w:tc>
          <w:tcPr>
            <w:tcW w:type="dxa" w:w="756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Make transparency, permission and member control central to the product experience.</w:t>
            </w:r>
          </w:p>
        </w:tc>
      </w:tr>
      <w:tr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Partner strategy</w:t>
            </w:r>
          </w:p>
        </w:tc>
        <w:tc>
          <w:tcPr>
            <w:tcW w:type="dxa" w:w="756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 qualified providers for title, legal, payments, lending, licensing and specialist services.</w:t>
            </w:r>
          </w:p>
        </w:tc>
      </w:tr>
      <w:tr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Homecoming research</w:t>
            </w:r>
          </w:p>
        </w:tc>
        <w:tc>
          <w:tcPr>
            <w:tcW w:type="dxa" w:w="756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 separate QR pathways for potential users and for strategic, banking and investment relationships.</w:t>
            </w:r>
          </w:p>
        </w:tc>
      </w:tr>
    </w:tbl>
    <w:p>
      <w:pPr>
        <w:keepNext/>
        <w:keepLines/>
        <w:pageBreakBefore/>
        <w:spacing w:after="90" w:before="0"/>
      </w:pPr>
      <w:r>
        <w:rPr>
          <w:rFonts w:ascii="Arial" w:cs="Arial" w:eastAsia="Arial" w:hAnsi="Arial"/>
          <w:b/>
          <w:bCs/>
          <w:color w:val="C89B2C"/>
          <w:spacing w:val="26"/>
          <w:sz w:val="15"/>
          <w:szCs w:val="15"/>
        </w:rPr>
        <w:t xml:space="preserve">DECISION GUIDE</w:t>
      </w:r>
    </w:p>
    <w:p>
      <w:pPr>
        <w:pStyle w:val="Heading1"/>
        <w:keepNext/>
        <w:keepLines/>
        <w:spacing w:after="150" w:before="40"/>
      </w:pPr>
      <w:r>
        <w:rPr>
          <w:rFonts w:ascii="Cambria" w:cs="Cambria" w:eastAsia="Cambria" w:hAnsi="Cambria"/>
          <w:color w:val="071E41"/>
          <w:sz w:val="40"/>
          <w:szCs w:val="40"/>
        </w:rPr>
        <w:t xml:space="preserve">Key Decisions and Responsible Design Guardrails</w:t>
      </w:r>
    </w:p>
    <w:p>
      <w:pPr>
        <w:spacing w:after="20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These topics are presented for discussion and validation. They are starting positions to pressure-test together, not final legal or technical conclusions.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49"/>
        <w:gridCol w:w="4215"/>
      </w:tblGrid>
      <w:tr>
        <w:trPr>
          <w:tblHeader/>
        </w:trPr>
        <w:tc>
          <w:tcPr>
            <w:tcW w:type="dxa" w:w="2016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DECISION AREA</w:t>
            </w:r>
          </w:p>
        </w:tc>
        <w:tc>
          <w:tcPr>
            <w:tcW w:type="dxa" w:w="3849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QUESTION TO RESOLVE TOGETHER</w:t>
            </w:r>
          </w:p>
        </w:tc>
        <w:tc>
          <w:tcPr>
            <w:tcW w:type="dxa" w:w="4215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PROPOSED STARTING GUARDRAIL</w:t>
            </w:r>
          </w:p>
        </w:tc>
      </w:tr>
      <w:tr>
        <w:tc>
          <w:tcPr>
            <w:tcW w:type="dxa" w:w="201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Initial customer and scope</w:t>
            </w:r>
          </w:p>
        </w:tc>
        <w:tc>
          <w:tcPr>
            <w:tcW w:type="dxa" w:w="384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Who is the organizer, what project are they managing, and what problem must be solved first?</w:t>
            </w:r>
          </w:p>
        </w:tc>
        <w:tc>
          <w:tcPr>
            <w:tcW w:type="dxa" w:w="421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Select one lead customer, one lead workflow and a written exclusion list for the 90-day period.</w:t>
            </w:r>
          </w:p>
        </w:tc>
      </w:tr>
      <w:tr>
        <w:tc>
          <w:tcPr>
            <w:tcW w:type="dxa" w:w="201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Ownership information</w:t>
            </w:r>
          </w:p>
        </w:tc>
        <w:tc>
          <w:tcPr>
            <w:tcW w:type="dxa" w:w="384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Will Ascend record family-supplied allocations, or represent verified legal ownership?</w:t>
            </w:r>
          </w:p>
        </w:tc>
        <w:tc>
          <w:tcPr>
            <w:tcW w:type="dxa" w:w="421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Treat user-supplied percentages as project information unless qualified professionals verify title or ownership.</w:t>
            </w:r>
          </w:p>
        </w:tc>
      </w:tr>
      <w:tr>
        <w:tc>
          <w:tcPr>
            <w:tcW w:type="dxa" w:w="201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Payments and contributions</w:t>
            </w:r>
          </w:p>
        </w:tc>
        <w:tc>
          <w:tcPr>
            <w:tcW w:type="dxa" w:w="384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Will Ascend collect, store, split or transmit funds — or connect users to a payment provider?</w:t>
            </w:r>
          </w:p>
        </w:tc>
        <w:tc>
          <w:tcPr>
            <w:tcW w:type="dxa" w:w="421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Begin with a qualified payment partner. Avoid holding pooled funds or stored value in the MVP.</w:t>
            </w:r>
          </w:p>
        </w:tc>
      </w:tr>
      <w:tr>
        <w:tc>
          <w:tcPr>
            <w:tcW w:type="dxa" w:w="201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Financial products</w:t>
            </w:r>
          </w:p>
        </w:tc>
        <w:tc>
          <w:tcPr>
            <w:tcW w:type="dxa" w:w="384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How might banking, credit or funding relationships support users later?</w:t>
            </w:r>
          </w:p>
        </w:tc>
        <w:tc>
          <w:tcPr>
            <w:tcW w:type="dxa" w:w="421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Start with permission-based introductions. Do not promise approval, returns or investment outcomes.</w:t>
            </w:r>
          </w:p>
        </w:tc>
      </w:tr>
      <w:tr>
        <w:tc>
          <w:tcPr>
            <w:tcW w:type="dxa" w:w="201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Data governance</w:t>
            </w:r>
          </w:p>
        </w:tc>
        <w:tc>
          <w:tcPr>
            <w:tcW w:type="dxa" w:w="384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 documents and personal information are truly required, who can see them, and how long are they retained?</w:t>
            </w:r>
          </w:p>
        </w:tc>
        <w:tc>
          <w:tcPr>
            <w:tcW w:type="dxa" w:w="421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Minimize collection. Define consent, permissions, retention, deletion, security and prohibited uses before launch.</w:t>
            </w:r>
          </w:p>
        </w:tc>
      </w:tr>
      <w:tr>
        <w:tc>
          <w:tcPr>
            <w:tcW w:type="dxa" w:w="201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Partner and sponsor access</w:t>
            </w:r>
          </w:p>
        </w:tc>
        <w:tc>
          <w:tcPr>
            <w:tcW w:type="dxa" w:w="384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When can vendors, banks or sponsors communicate with project members?</w:t>
            </w:r>
          </w:p>
        </w:tc>
        <w:tc>
          <w:tcPr>
            <w:tcW w:type="dxa" w:w="421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Members choose whether to request an offer or introduction. Personal financial data is not sold.</w:t>
            </w:r>
          </w:p>
        </w:tc>
      </w:tr>
      <w:tr>
        <w:tc>
          <w:tcPr>
            <w:tcW w:type="dxa" w:w="201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Brand and licensing</w:t>
            </w:r>
          </w:p>
        </w:tc>
        <w:tc>
          <w:tcPr>
            <w:tcW w:type="dxa" w:w="384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How will Morehouse, Spelman and other institutional marks be handled?</w:t>
            </w:r>
          </w:p>
        </w:tc>
        <w:tc>
          <w:tcPr>
            <w:tcW w:type="dxa" w:w="421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 approved licensing pathways and qualified vendors before any branded merchandise is sold.</w:t>
            </w:r>
          </w:p>
        </w:tc>
      </w:tr>
      <w:tr>
        <w:tc>
          <w:tcPr>
            <w:tcW w:type="dxa" w:w="201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Team responsibilities</w:t>
            </w:r>
          </w:p>
        </w:tc>
        <w:tc>
          <w:tcPr>
            <w:tcW w:type="dxa" w:w="384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 belongs to Eric, his teammate, Dana, developers and outside professionals?</w:t>
            </w:r>
          </w:p>
        </w:tc>
        <w:tc>
          <w:tcPr>
            <w:tcW w:type="dxa" w:w="421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Document roles, decision rights, intellectual property, weekly capacity and escalation rules.</w:t>
            </w:r>
          </w:p>
        </w:tc>
      </w:tr>
    </w:tbl>
    <w:p>
      <w:pPr>
        <w:spacing w:after="2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B2D57"/>
                <w:spacing w:val="24"/>
                <w:sz w:val="14"/>
                <w:szCs w:val="14"/>
              </w:rPr>
              <w:t xml:space="preserve">PROPOSED PRODUCT BOUNDARY LANGUAGE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2D57"/>
                <w:sz w:val="19"/>
                <w:szCs w:val="19"/>
              </w:rPr>
              <w:t xml:space="preserve">Ascend records project information approved by the group. It does not determine legal ownership, provide legal advice, hold client funds or promise financial outcomes.</w:t>
            </w:r>
          </w:p>
        </w:tc>
      </w:tr>
    </w:tbl>
    <w:p>
      <w:pPr>
        <w:keepNext/>
        <w:pBdr>
          <w:bottom w:val="single" w:color="E5EAF2" w:sz="4"/>
        </w:pBdr>
        <w:spacing w:after="300" w:before="340"/>
      </w:pPr>
    </w:p>
    <w:p>
      <w:pPr>
        <w:keepNext/>
        <w:keepLines/>
        <w:spacing w:after="90" w:before="0"/>
      </w:pPr>
      <w:r>
        <w:rPr>
          <w:rFonts w:ascii="Arial" w:cs="Arial" w:eastAsia="Arial" w:hAnsi="Arial"/>
          <w:b/>
          <w:bCs/>
          <w:color w:val="C89B2C"/>
          <w:spacing w:val="26"/>
          <w:sz w:val="15"/>
          <w:szCs w:val="15"/>
        </w:rPr>
        <w:t xml:space="preserve">POTENTIAL PATH</w:t>
      </w:r>
    </w:p>
    <w:p>
      <w:pPr>
        <w:pStyle w:val="Heading1"/>
        <w:keepNext/>
        <w:keepLines/>
        <w:spacing w:after="150" w:before="40"/>
      </w:pPr>
      <w:r>
        <w:rPr>
          <w:rFonts w:ascii="Cambria" w:cs="Cambria" w:eastAsia="Cambria" w:hAnsi="Cambria"/>
          <w:color w:val="071E41"/>
          <w:sz w:val="40"/>
          <w:szCs w:val="40"/>
        </w:rPr>
        <w:t xml:space="preserve">Illustrative 90-Day Validation Plan</w:t>
      </w:r>
    </w:p>
    <w:p>
      <w:pPr>
        <w:spacing w:after="20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goal is to decide what deserves to be built and commercialized based on evidence from prospective users, pilot candidates and qualified partners — rather than on enthusiasm.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2987"/>
        <w:gridCol w:w="5600"/>
      </w:tblGrid>
      <w:tr>
        <w:trPr>
          <w:tblHeader/>
        </w:trPr>
        <w:tc>
          <w:tcPr>
            <w:tcW w:type="dxa" w:w="1493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PHASE</w:t>
            </w:r>
          </w:p>
        </w:tc>
        <w:tc>
          <w:tcPr>
            <w:tcW w:type="dxa" w:w="2987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FOCUS</w:t>
            </w:r>
          </w:p>
        </w:tc>
        <w:tc>
          <w:tcPr>
            <w:tcW w:type="dxa" w:w="560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ILLUSTRATIVE OUTPUTS</w:t>
            </w:r>
          </w:p>
        </w:tc>
      </w:tr>
      <w:tr>
        <w:tc>
          <w:tcPr>
            <w:tcW w:type="dxa" w:w="1493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298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Founder alignment and concept focus</w:t>
            </w:r>
          </w:p>
        </w:tc>
        <w:tc>
          <w:tcPr>
            <w:tcW w:type="dxa" w:w="56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Approved problem statement, lead customer, MVP boundary, assumptions and interview plan.</w:t>
            </w:r>
          </w:p>
        </w:tc>
      </w:tr>
      <w:tr>
        <w:tc>
          <w:tcPr>
            <w:tcW w:type="dxa" w:w="1493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Weeks 3–4</w:t>
            </w:r>
          </w:p>
        </w:tc>
        <w:tc>
          <w:tcPr>
            <w:tcW w:type="dxa" w:w="298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Customer and partner validation</w:t>
            </w:r>
          </w:p>
        </w:tc>
        <w:tc>
          <w:tcPr>
            <w:tcW w:type="dxa" w:w="56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Interviews, two survey pathways, pilot recruitment and prototype requirements.</w:t>
            </w:r>
          </w:p>
        </w:tc>
      </w:tr>
      <w:tr>
        <w:tc>
          <w:tcPr>
            <w:tcW w:type="dxa" w:w="1493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298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Homecoming field-test preparation</w:t>
            </w:r>
          </w:p>
        </w:tc>
        <w:tc>
          <w:tcPr>
            <w:tcW w:type="dxa" w:w="56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Short pitch, QR cards, non-confidential concept page, demo and scheduled conversations.</w:t>
            </w:r>
          </w:p>
        </w:tc>
      </w:tr>
      <w:tr>
        <w:tc>
          <w:tcPr>
            <w:tcW w:type="dxa" w:w="1493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Weeks 7–8</w:t>
            </w:r>
          </w:p>
        </w:tc>
        <w:tc>
          <w:tcPr>
            <w:tcW w:type="dxa" w:w="298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Evidence review and product decisions</w:t>
            </w:r>
          </w:p>
        </w:tc>
        <w:tc>
          <w:tcPr>
            <w:tcW w:type="dxa" w:w="56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Prioritized workflows, pricing tests, legal and payment architecture questions, and a revised pilot.</w:t>
            </w:r>
          </w:p>
        </w:tc>
      </w:tr>
      <w:tr>
        <w:tc>
          <w:tcPr>
            <w:tcW w:type="dxa" w:w="1493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Weeks 9–10</w:t>
            </w:r>
          </w:p>
        </w:tc>
        <w:tc>
          <w:tcPr>
            <w:tcW w:type="dxa" w:w="298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Pilot preparation</w:t>
            </w:r>
          </w:p>
        </w:tc>
        <w:tc>
          <w:tcPr>
            <w:tcW w:type="dxa" w:w="56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One or two organizer groups, dashboard, vendor process, operating playbook and unit economics.</w:t>
            </w:r>
          </w:p>
        </w:tc>
      </w:tr>
      <w:tr>
        <w:tc>
          <w:tcPr>
            <w:tcW w:type="dxa" w:w="1493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Weeks 11–13</w:t>
            </w:r>
          </w:p>
        </w:tc>
        <w:tc>
          <w:tcPr>
            <w:tcW w:type="dxa" w:w="298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Build and capital decision</w:t>
            </w:r>
          </w:p>
        </w:tc>
        <w:tc>
          <w:tcPr>
            <w:tcW w:type="dxa" w:w="56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Pilot readout, 12-month roadmap, partnership pipeline and recommended resource path.</w:t>
            </w:r>
          </w:p>
        </w:tc>
      </w:tr>
    </w:tbl>
    <w:p>
      <w:pPr>
        <w:pStyle w:val="Heading2"/>
        <w:keepNext/>
        <w:keepLines/>
        <w:spacing w:after="130" w:before="30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Information to capture during or immediately after the meeting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live prototype walkthrough and an inventory of working, partial and non-working functions.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 technical stack, code ownership, hosting, data model, security status, and a recommendation to stabilize or rebuild.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plain-language Oklahoma project charter explaining the objective, cost, decision process and family benefit — without assuming consent.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Class of 1997 quantity, box contents, decision maker, deadlines, minimum order, deposits and a complete landed-cost model.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Isaiah’s one-hour weekly work plan, technical deliverables and escalation path; and Serena’s intended ongoing role.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Eric’s definition of success for November 25, and the resources he is prepared to commit.</w:t>
      </w:r>
    </w:p>
    <w:p>
      <w:pPr>
        <w:keepNext/>
        <w:keepLines/>
        <w:pageBreakBefore/>
        <w:spacing w:after="90" w:before="0"/>
      </w:pPr>
      <w:r>
        <w:rPr>
          <w:rFonts w:ascii="Arial" w:cs="Arial" w:eastAsia="Arial" w:hAnsi="Arial"/>
          <w:b/>
          <w:bCs/>
          <w:color w:val="C89B2C"/>
          <w:spacing w:val="26"/>
          <w:sz w:val="15"/>
          <w:szCs w:val="15"/>
        </w:rPr>
        <w:t xml:space="preserve">CLOSE</w:t>
      </w:r>
    </w:p>
    <w:p>
      <w:pPr>
        <w:pStyle w:val="Heading1"/>
        <w:keepNext/>
        <w:keepLines/>
        <w:spacing w:after="150" w:before="40"/>
      </w:pPr>
      <w:r>
        <w:rPr>
          <w:rFonts w:ascii="Cambria" w:cs="Cambria" w:eastAsia="Cambria" w:hAnsi="Cambria"/>
          <w:color w:val="071E41"/>
          <w:sz w:val="40"/>
          <w:szCs w:val="40"/>
        </w:rPr>
        <w:t xml:space="preserve">Expected Meeting Outputs</w:t>
      </w:r>
    </w:p>
    <w:p>
      <w:pPr>
        <w:spacing w:after="20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Five things should exist by 3:30 PM that did not exist at 1:30 PM. If any of them is still open at the close, name the owner and the date rather than leaving it to the next conversation.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One approved 90-day lead use case and customer.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preliminary MVP boundary and a parked-feature list.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An agreed approach to ownership information, payments and sensitive data, for further expert validation.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Homecoming research plan and a Class of 1997 discovery step.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Named owners, immediate information requests and the next working date.</w:t>
      </w:r>
    </w:p>
    <w:p>
      <w:pPr>
        <w:spacing w:after="3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4"/>
                <w:sz w:val="14"/>
                <w:szCs w:val="14"/>
              </w:rPr>
              <w:t xml:space="preserve">WORKING DOCUMENT NOTE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This brief supports a concept development discussion. It is not legal, tax, securities, title, software engineering or investment advice. Final decisions will require founder input, customer validation and, where appropriate, qualified professional review.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00" w:left="108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AF2" w:sz="4"/>
      </w:pBdr>
      <w:tabs>
        <w:tab w:val="right" w:pos="10080"/>
      </w:tabs>
      <w:spacing w:after="0" w:before="60"/>
    </w:pPr>
    <w:r>
      <w:rPr>
        <w:rFonts w:ascii="Arial" w:cs="Arial" w:eastAsia="Arial" w:hAnsi="Arial"/>
        <w:color w:val="6B7280"/>
        <w:sz w:val="13"/>
        <w:szCs w:val="13"/>
      </w:rPr>
      <w:t xml:space="preserve">Prepared by Dana Ammons · Value Growth Partners · Confidential working draft</w:t>
    </w:r>
    <w:r>
      <w:rPr>
        <w:rFonts w:ascii="Arial" w:cs="Arial" w:eastAsia="Arial" w:hAnsi="Arial"/>
        <w:sz w:val="13"/>
        <w:szCs w:val="13"/>
      </w:rPr>
      <w:t xml:space="preserve">	</w:t>
    </w:r>
    <w:r>
      <w:rPr>
        <w:rFonts w:ascii="Arial" w:cs="Arial" w:eastAsia="Arial" w:hAnsi="Arial"/>
        <w:b/>
        <w:bCs/>
        <w:color w:val="071E41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3"/>
        <w:szCs w:val="13"/>
      </w:rPr>
      <w:t xml:space="preserve"> / </w:t>
    </w:r>
    <w:r>
      <w:rPr>
        <w:rFonts w:ascii="Arial" w:cs="Arial" w:eastAsia="Arial" w:hAnsi="Arial"/>
        <w:color w:val="6B72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AF2" w:sz="4"/>
      </w:pBdr>
      <w:tabs>
        <w:tab w:val="right" w:pos="10080"/>
      </w:tabs>
      <w:spacing w:after="0" w:before="60"/>
    </w:pPr>
    <w:r>
      <w:rPr>
        <w:rFonts w:ascii="Arial" w:cs="Arial" w:eastAsia="Arial" w:hAnsi="Arial"/>
        <w:color w:val="6B7280"/>
        <w:sz w:val="13"/>
        <w:szCs w:val="13"/>
      </w:rPr>
      <w:t xml:space="preserve">Prepared by Dana Ammons · Value Growth Partners · Confidential working draft</w:t>
    </w:r>
    <w:r>
      <w:rPr>
        <w:rFonts w:ascii="Arial" w:cs="Arial" w:eastAsia="Arial" w:hAnsi="Arial"/>
        <w:sz w:val="13"/>
        <w:szCs w:val="13"/>
      </w:rPr>
      <w:t xml:space="preserve">	</w:t>
    </w:r>
    <w:r>
      <w:rPr>
        <w:rFonts w:ascii="Arial" w:cs="Arial" w:eastAsia="Arial" w:hAnsi="Arial"/>
        <w:b/>
        <w:bCs/>
        <w:color w:val="071E41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3"/>
        <w:szCs w:val="13"/>
      </w:rPr>
      <w:t xml:space="preserve"> / </w:t>
    </w:r>
    <w:r>
      <w:rPr>
        <w:rFonts w:ascii="Arial" w:cs="Arial" w:eastAsia="Arial" w:hAnsi="Arial"/>
        <w:color w:val="6B72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AF2" w:sz="4"/>
      </w:pBdr>
      <w:tabs>
        <w:tab w:val="right" w:pos="10080"/>
      </w:tabs>
      <w:spacing w:after="0"/>
    </w:pPr>
    <w:r>
      <w:rPr>
        <w:rFonts w:ascii="Arial" w:cs="Arial" w:eastAsia="Arial" w:hAnsi="Arial"/>
        <w:b/>
        <w:bCs/>
        <w:color w:val="6B7280"/>
        <w:spacing w:val="18"/>
        <w:sz w:val="13"/>
        <w:szCs w:val="13"/>
      </w:rPr>
      <w:t xml:space="preserve">ASCEND FAMILY VAULT — WORKING SESSION BRIEF</w:t>
    </w:r>
    <w:r>
      <w:rPr>
        <w:rFonts w:ascii="Arial" w:cs="Arial" w:eastAsia="Arial" w:hAnsi="Arial"/>
        <w:b/>
        <w:bCs/>
        <w:color w:val="6B7280"/>
        <w:spacing w:val="18"/>
        <w:sz w:val="13"/>
        <w:szCs w:val="13"/>
      </w:rPr>
      <w:t xml:space="preserve">	VALUE GROWTH PARTNERS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340"/>
      </w:pPr>
      <w:rPr>
        <w:rFonts w:ascii="Arial" w:cs="Arial" w:eastAsia="Arial" w:hAnsi="Arial"/>
        <w:color w:val="3978D7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80" w:hanging="380"/>
      </w:pPr>
      <w:rPr>
        <w:rFonts w:ascii="Arial" w:cs="Arial" w:eastAsia="Arial" w:hAnsi="Arial"/>
        <w:b/>
        <w:bCs/>
        <w:color w:val="3978D7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40"/>
    </w:pPr>
    <w:rPr>
      <w:rFonts w:ascii="Cambria" w:cs="Cambria" w:eastAsia="Cambria" w:hAnsi="Cambria"/>
      <w:b w:val="false"/>
      <w:bCs w:val="false"/>
      <w:color w:val="071E4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30" w:before="340"/>
    </w:pPr>
    <w:rPr>
      <w:rFonts w:ascii="Cambria" w:cs="Cambria" w:eastAsia="Cambria" w:hAnsi="Cambria"/>
      <w:b w:val="false"/>
      <w:bCs w:val="false"/>
      <w:color w:val="0B2D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60"/>
    </w:pPr>
    <w:rPr>
      <w:rFonts w:ascii="Arial" w:cs="Arial" w:eastAsia="Arial" w:hAnsi="Arial"/>
      <w:b/>
      <w:bCs/>
      <w:color w:val="0B2D57"/>
      <w:sz w:val="15"/>
      <w:szCs w:val="1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Ascend Family Vault — Working Session Brief</dc:title>
  <dc:creator>Dana Ammons · Value Growth Partners</dc:creator>
  <dc:description>Concept development discussion brief for the Ascend Family Vault working session.</dc:description>
  <cp:lastModifiedBy>Un-named</cp:lastModifiedBy>
  <cp:revision>1</cp:revision>
  <dcterms:created xsi:type="dcterms:W3CDTF">2026-08-27T17:11:41.434Z</dcterms:created>
  <dcterms:modified xsi:type="dcterms:W3CDTF">2026-08-27T17:11:41.435Z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