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pPr>
      <w:r>
        <w:rPr>
          <w:b/>
          <w:bCs/>
          <w:color w:val="B0532B"/>
          <w:spacing w:val="40"/>
          <w:sz w:val="24"/>
          <w:szCs w:val="24"/>
        </w:rPr>
        <w:t xml:space="preserve">AXIS &amp; BLOOM</w:t>
      </w:r>
    </w:p>
    <w:p>
      <w:pPr>
        <w:spacing w:after="300"/>
      </w:pPr>
      <w:r>
        <w:rPr>
          <w:b/>
          <w:bCs/>
          <w:color w:val="2B2B2B"/>
          <w:sz w:val="56"/>
          <w:szCs w:val="56"/>
        </w:rPr>
        <w:t xml:space="preserve">Marketing Plan Companion</w:t>
      </w:r>
    </w:p>
    <w:p>
      <w:pPr>
        <w:spacing w:after="160" w:line="276"/>
      </w:pPr>
      <w:r>
        <w:rPr>
          <w:rFonts w:ascii="Calibri" w:cs="Calibri" w:eastAsia="Calibri" w:hAnsi="Calibri"/>
          <w:color w:val="6B6560"/>
          <w:sz w:val="24"/>
          <w:szCs w:val="24"/>
        </w:rPr>
        <w:t xml:space="preserve">A plain-language guide to Camila’s Marketing Strategy &amp; Launch Plan: what’s aligned with the brand, what the Instagram and Facebook terms mean, who does what, and what’s being built to support it.</w:t>
      </w:r>
    </w:p>
    <w:p>
      <w:pPr>
        <w:spacing w:after="160" w:line="276"/>
      </w:pPr>
      <w:r>
        <w:rPr>
          <w:rFonts w:ascii="Calibri" w:cs="Calibri" w:eastAsia="Calibri" w:hAnsi="Calibri"/>
          <w:i/>
          <w:iCs/>
          <w:color w:val="6B6560"/>
          <w:sz w:val="20"/>
          <w:szCs w:val="20"/>
        </w:rPr>
        <w:t xml:space="preserve">July 16, 2026 · For Camila &amp; Dana · Launch: October 1</w:t>
      </w:r>
    </w:p>
    <w:p>
      <w:r>
        <w:br w:type="page"/>
      </w:r>
    </w:p>
    <w:p>
      <w:pPr>
        <w:pStyle w:val="Heading1"/>
        <w:spacing w:after="200" w:before="360"/>
      </w:pPr>
      <w:r>
        <w:rPr>
          <w:rFonts w:ascii="Calibri" w:cs="Calibri" w:eastAsia="Calibri" w:hAnsi="Calibri"/>
          <w:b/>
          <w:bCs/>
          <w:color w:val="B0532B"/>
          <w:sz w:val="32"/>
          <w:szCs w:val="32"/>
        </w:rPr>
        <w:t xml:space="preserve">1. Is the plan on-brand? Yes — with four watch-points</w:t>
      </w:r>
    </w:p>
    <w:p>
      <w:pPr>
        <w:spacing w:after="160" w:line="276"/>
      </w:pPr>
      <w:r>
        <w:rPr>
          <w:rFonts w:ascii="Calibri" w:cs="Calibri" w:eastAsia="Calibri" w:hAnsi="Calibri"/>
          <w:color w:val="2B2B2B"/>
          <w:sz w:val="22"/>
          <w:szCs w:val="22"/>
        </w:rPr>
        <w:t xml:space="preserve">The plan was checked line-by-line against the Brand Plate, Brand Values &amp; Behavior, and Visual Foundations. The core of it — selling certainty instead of variety, always explaining the why, the Right Match Promise instead of discounts, gift-led holiday rather than discount-led — is not just compatible with the brand; it is the brand, expressed as marketing.</w:t>
      </w:r>
    </w:p>
    <w:p>
      <w:pPr>
        <w:spacing w:after="160" w:line="276"/>
      </w:pPr>
      <w:r>
        <w:rPr>
          <w:rFonts w:ascii="Calibri" w:cs="Calibri" w:eastAsia="Calibri" w:hAnsi="Calibri"/>
          <w:color w:val="2B2B2B"/>
          <w:sz w:val="22"/>
          <w:szCs w:val="22"/>
        </w:rPr>
        <w:t xml:space="preserve">Four points need care:</w:t>
      </w:r>
    </w:p>
    <w:p>
      <w:pPr>
        <w:pStyle w:val="ListParagraph"/>
        <w:numPr>
          <w:ilvl w:val="0"/>
          <w:numId w:val="2"/>
        </w:numPr>
        <w:spacing w:after="100" w:line="276"/>
      </w:pPr>
      <w:r>
        <w:rPr>
          <w:b/>
          <w:bCs/>
          <w:color w:val="2B2B2B"/>
          <w:sz w:val="22"/>
          <w:szCs w:val="22"/>
        </w:rPr>
        <w:t xml:space="preserve">Soft gate, not a hard gate</w:t>
      </w:r>
      <w:r>
        <w:rPr>
          <w:color w:val="2B2B2B"/>
          <w:sz w:val="22"/>
          <w:szCs w:val="22"/>
        </w:rPr>
        <w:t xml:space="preserve"> — the plan asked for email before showing any quiz result. That’s a "push," and we don’t push. Decision made: the archetype reveal stays free; the email ask comes after, calmly, to unlock the full why, the matched coffees, and the shareable card. Skippable.</w:t>
      </w:r>
    </w:p>
    <w:p>
      <w:pPr>
        <w:pStyle w:val="ListParagraph"/>
        <w:numPr>
          <w:ilvl w:val="0"/>
          <w:numId w:val="2"/>
        </w:numPr>
        <w:spacing w:after="100" w:line="276"/>
      </w:pPr>
      <w:r>
        <w:rPr>
          <w:b/>
          <w:bCs/>
          <w:color w:val="2B2B2B"/>
          <w:sz w:val="22"/>
          <w:szCs w:val="22"/>
        </w:rPr>
        <w:t xml:space="preserve">Deadlines yes, countdowns no</w:t>
      </w:r>
      <w:r>
        <w:rPr>
          <w:color w:val="2B2B2B"/>
          <w:sz w:val="22"/>
          <w:szCs w:val="22"/>
        </w:rPr>
        <w:t xml:space="preserve"> — the 48-hour founding perk and last-call emails are fine as facts, but no countdown timers, no red banners, no "last chance!!" repetition. State the deadline once, plainly.</w:t>
      </w:r>
    </w:p>
    <w:p>
      <w:pPr>
        <w:pStyle w:val="ListParagraph"/>
        <w:numPr>
          <w:ilvl w:val="0"/>
          <w:numId w:val="2"/>
        </w:numPr>
        <w:spacing w:after="100" w:line="276"/>
      </w:pPr>
      <w:r>
        <w:rPr>
          <w:b/>
          <w:bCs/>
          <w:color w:val="2B2B2B"/>
          <w:sz w:val="22"/>
          <w:szCs w:val="22"/>
        </w:rPr>
        <w:t xml:space="preserve">How many archetypes?</w:t>
      </w:r>
      <w:r>
        <w:rPr>
          <w:color w:val="2B2B2B"/>
          <w:sz w:val="22"/>
          <w:szCs w:val="22"/>
        </w:rPr>
        <w:t xml:space="preserve"> — the plan says six archetypes; the quiz engine currently scores five (with "Experimental" as a flavor mode, and the site displaying six). This must be settled before the archetype-world content series begins, so films and copy are built on the real system.</w:t>
      </w:r>
    </w:p>
    <w:p>
      <w:pPr>
        <w:pStyle w:val="ListParagraph"/>
        <w:numPr>
          <w:ilvl w:val="0"/>
          <w:numId w:val="2"/>
        </w:numPr>
        <w:spacing w:after="100" w:line="276"/>
      </w:pPr>
      <w:r>
        <w:rPr>
          <w:b/>
          <w:bCs/>
          <w:color w:val="2B2B2B"/>
          <w:sz w:val="22"/>
          <w:szCs w:val="22"/>
        </w:rPr>
        <w:t xml:space="preserve">Pricing reference gap</w:t>
      </w:r>
      <w:r>
        <w:rPr>
          <w:color w:val="2B2B2B"/>
          <w:sz w:val="22"/>
          <w:szCs w:val="22"/>
        </w:rPr>
        <w:t xml:space="preserve"> — the plan’s reference prices ($18–24/bag) don’t match what the site currently charges ($38). The August 8 pricing workshop should start here.</w:t>
      </w:r>
    </w:p>
    <w:p>
      <w:pPr>
        <w:pStyle w:val="Heading1"/>
        <w:spacing w:after="200" w:before="360"/>
      </w:pPr>
      <w:r>
        <w:rPr>
          <w:rFonts w:ascii="Calibri" w:cs="Calibri" w:eastAsia="Calibri" w:hAnsi="Calibri"/>
          <w:b/>
          <w:bCs/>
          <w:color w:val="B0532B"/>
          <w:sz w:val="32"/>
          <w:szCs w:val="32"/>
        </w:rPr>
        <w:t xml:space="preserve">2. The Instagram / Facebook terms, decoded</w:t>
      </w:r>
    </w:p>
    <w:p>
      <w:pPr>
        <w:spacing w:after="160" w:line="276"/>
      </w:pPr>
      <w:r>
        <w:rPr>
          <w:rFonts w:ascii="Calibri" w:cs="Calibri" w:eastAsia="Calibri" w:hAnsi="Calibri"/>
          <w:color w:val="2B2B2B"/>
          <w:sz w:val="22"/>
          <w:szCs w:val="22"/>
        </w:rPr>
        <w:t xml:space="preserve">Everything in the plan that referred to Meta, Instagram, or Facebook mechanics, in one table. (The plan’s own glossary covers funnel/CAC/LTV terms — this covers the rest.)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540"/>
      </w:tblGrid>
      <w:tr>
        <w:tc>
          <w:tcPr>
            <w:tcW w:type="dxa" w:w="1800"/>
            <w:tcBorders>
              <w:top w:val="single" w:color="DDD5C8" w:sz="4"/>
              <w:left w:val="none"/>
              <w:bottom w:val="single" w:color="DDD5C8" w:sz="4"/>
              <w:right w:val="none"/>
            </w:tcBorders>
            <w:shd w:fill="B0532B"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Term</w:t>
            </w:r>
          </w:p>
        </w:tc>
        <w:tc>
          <w:tcPr>
            <w:tcW w:type="dxa" w:w="4300"/>
            <w:tcBorders>
              <w:top w:val="single" w:color="DDD5C8" w:sz="4"/>
              <w:left w:val="none"/>
              <w:bottom w:val="single" w:color="DDD5C8" w:sz="4"/>
              <w:right w:val="none"/>
            </w:tcBorders>
            <w:shd w:fill="B0532B"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What it actually is</w:t>
            </w:r>
          </w:p>
        </w:tc>
        <w:tc>
          <w:tcPr>
            <w:tcW w:type="dxa" w:w="3540"/>
            <w:tcBorders>
              <w:top w:val="single" w:color="DDD5C8" w:sz="4"/>
              <w:left w:val="none"/>
              <w:bottom w:val="single" w:color="DDD5C8" w:sz="4"/>
              <w:right w:val="none"/>
            </w:tcBorders>
            <w:shd w:fill="B0532B"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Why it matters to us</w:t>
            </w:r>
          </w:p>
        </w:tc>
      </w:tr>
      <w:tr>
        <w:tc>
          <w:tcPr>
            <w:tcW w:type="dxa" w:w="18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Meta</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The company behind Facebook + Instagram. One ad system ("Meta Ads Manager") runs ads on both at once.</w:t>
            </w:r>
          </w:p>
        </w:tc>
        <w:tc>
          <w:tcPr>
            <w:tcW w:type="dxa" w:w="354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All our paid ads live here. One budget, both platforms.</w:t>
            </w:r>
          </w:p>
        </w:tc>
      </w:tr>
      <w:tr>
        <w:tc>
          <w:tcPr>
            <w:tcW w:type="dxa" w:w="18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Meta Pixel</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A tiny invisible script Dana installs on our website. It tells Meta which visitors took the quiz or left an email.</w:t>
            </w:r>
          </w:p>
        </w:tc>
        <w:tc>
          <w:tcPr>
            <w:tcW w:type="dxa" w:w="354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Without it, Meta can’t learn who to show our ads to. It’s how "$2–4 per subscriber" becomes possible.</w:t>
            </w:r>
          </w:p>
        </w:tc>
      </w:tr>
      <w:tr>
        <w:tc>
          <w:tcPr>
            <w:tcW w:type="dxa" w:w="18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GA4 (Google Analytics)</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Google’s free website statistics tool — where visitors come from, what pages they view, where they drop off.</w:t>
            </w:r>
          </w:p>
        </w:tc>
        <w:tc>
          <w:tcPr>
            <w:tcW w:type="dxa" w:w="354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Our "did the site do its job" tool. Complements the Pixel (which is ad-focused).</w:t>
            </w:r>
          </w:p>
        </w:tc>
      </w:tr>
      <w:tr>
        <w:tc>
          <w:tcPr>
            <w:tcW w:type="dxa" w:w="18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Reel</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A short vertical video on Instagram (ours: 20–40 seconds). Shown to strangers, not just followers.</w:t>
            </w:r>
          </w:p>
        </w:tc>
        <w:tc>
          <w:tcPr>
            <w:tcW w:type="dxa" w:w="354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Our reach engine — the cinematic archetype-world films are Reels.</w:t>
            </w:r>
          </w:p>
        </w:tc>
      </w:tr>
      <w:tr>
        <w:tc>
          <w:tcPr>
            <w:tcW w:type="dxa" w:w="18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Story</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A photo/video that disappears after 24 hours, seen mostly by existing followers. Casual, imperfect is fine.</w:t>
            </w:r>
          </w:p>
        </w:tc>
        <w:tc>
          <w:tcPr>
            <w:tcW w:type="dxa" w:w="354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Relationship channel — behind-the-scenes, founder moments, launch-day updates.</w:t>
            </w:r>
          </w:p>
        </w:tc>
      </w:tr>
      <w:tr>
        <w:tc>
          <w:tcPr>
            <w:tcW w:type="dxa" w:w="18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Carousel</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One post with multiple swipeable images or cards.</w:t>
            </w:r>
          </w:p>
        </w:tc>
        <w:tc>
          <w:tcPr>
            <w:tcW w:type="dxa" w:w="354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Perfect for "the quiet why" explainers — people save them.</w:t>
            </w:r>
          </w:p>
        </w:tc>
      </w:tr>
      <w:tr>
        <w:tc>
          <w:tcPr>
            <w:tcW w:type="dxa" w:w="18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Pinned link / link in bio</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The one clickable link on an Instagram profile.</w:t>
            </w:r>
          </w:p>
        </w:tc>
        <w:tc>
          <w:tcPr>
            <w:tcW w:type="dxa" w:w="354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Ours must always be "Find your flavor" → the quiz.</w:t>
            </w:r>
          </w:p>
        </w:tc>
      </w:tr>
      <w:tr>
        <w:tc>
          <w:tcPr>
            <w:tcW w:type="dxa" w:w="18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Retargeting</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Ads shown only to people who already visited the site but didn’t finish (e.g., started the quiz, stopped).</w:t>
            </w:r>
          </w:p>
        </w:tc>
        <w:tc>
          <w:tcPr>
            <w:tcW w:type="dxa" w:w="354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Cheapest conversions — added in September once the Pixel has data.</w:t>
            </w:r>
          </w:p>
        </w:tc>
      </w:tr>
      <w:tr>
        <w:tc>
          <w:tcPr>
            <w:tcW w:type="dxa" w:w="18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Lead ad / Instant Form</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An ad where a form opens inside Instagram/Facebook itself — email pre-filled by Meta, no website visit. Can include a few custom multiple-choice questions.</w:t>
            </w:r>
          </w:p>
        </w:tc>
        <w:tc>
          <w:tcPr>
            <w:tcW w:type="dxa" w:w="354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This is how a "mini-quiz inside the ad" is possible — see the quiz-in-ads page.</w:t>
            </w:r>
          </w:p>
        </w:tc>
      </w:tr>
      <w:tr>
        <w:tc>
          <w:tcPr>
            <w:tcW w:type="dxa" w:w="18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Instant Experience</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A full-screen page that opens inside the app after tapping an ad. Holds video/images/simple polls — but no real quiz logic.</w:t>
            </w:r>
          </w:p>
        </w:tc>
        <w:tc>
          <w:tcPr>
            <w:tcW w:type="dxa" w:w="354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A teaser layer only. We’re skipping it for now.</w:t>
            </w:r>
          </w:p>
        </w:tc>
      </w:tr>
      <w:tr>
        <w:tc>
          <w:tcPr>
            <w:tcW w:type="dxa" w:w="18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Seeding / PR mailers</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Sending free product to writers and small creators hoping they post about it. No guarantee — hence "seeding."</w:t>
            </w:r>
          </w:p>
        </w:tc>
        <w:tc>
          <w:tcPr>
            <w:tcW w:type="dxa" w:w="354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Our September push: 20–30 mailers — the designed bag + archetype card. The bag reveal is the story (we ship no box).</w:t>
            </w:r>
          </w:p>
        </w:tc>
      </w:tr>
      <w:tr>
        <w:tc>
          <w:tcPr>
            <w:tcW w:type="dxa" w:w="18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Micro-influencer</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A creator with a small but engaged audience (5k–50k followers). Cheaper, more trusted than celebrities.</w:t>
            </w:r>
          </w:p>
        </w:tc>
        <w:tc>
          <w:tcPr>
            <w:tcW w:type="dxa" w:w="354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They match our "recommendation from someone whose taste you trust" (51%) trust driver.</w:t>
            </w:r>
          </w:p>
        </w:tc>
      </w:tr>
      <w:tr>
        <w:tc>
          <w:tcPr>
            <w:tcW w:type="dxa" w:w="18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A/B test (two angles)</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Running two versions of an ad at once and letting the numbers pick the winner.</w:t>
            </w:r>
          </w:p>
        </w:tc>
        <w:tc>
          <w:tcPr>
            <w:tcW w:type="dxa" w:w="354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August: "choice-overload pain" vs. "find your archetype curiosity." We keep the winner, kill the loser.</w:t>
            </w:r>
          </w:p>
        </w:tc>
      </w:tr>
      <w:tr>
        <w:tc>
          <w:tcPr>
            <w:tcW w:type="dxa" w:w="18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Cost per subscriber</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Ad money spent ÷ new quiz-completed emails gained. Our healthy range: $2–4.</w:t>
            </w:r>
          </w:p>
        </w:tc>
        <w:tc>
          <w:tcPr>
            <w:tcW w:type="dxa" w:w="354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THE pre-launch number. It appears on the new dashboard automatically.</w:t>
            </w:r>
          </w:p>
        </w:tc>
      </w:tr>
    </w:tbl>
    <w:p>
      <w:r>
        <w:br w:type="page"/>
      </w:r>
    </w:p>
    <w:p>
      <w:pPr>
        <w:pStyle w:val="Heading1"/>
        <w:spacing w:after="200" w:before="360"/>
      </w:pPr>
      <w:r>
        <w:rPr>
          <w:rFonts w:ascii="Calibri" w:cs="Calibri" w:eastAsia="Calibri" w:hAnsi="Calibri"/>
          <w:b/>
          <w:bCs/>
          <w:color w:val="B0532B"/>
          <w:sz w:val="32"/>
          <w:szCs w:val="32"/>
        </w:rPr>
        <w:t xml:space="preserve">3. Who does what</w:t>
      </w:r>
    </w:p>
    <w:p>
      <w:pPr>
        <w:pStyle w:val="Heading2"/>
        <w:spacing w:after="140" w:before="280"/>
      </w:pPr>
      <w:r>
        <w:rPr>
          <w:rFonts w:ascii="Calibri" w:cs="Calibri" w:eastAsia="Calibri" w:hAnsi="Calibri"/>
          <w:b/>
          <w:bCs/>
          <w:color w:val="2B2B2B"/>
          <w:sz w:val="25"/>
          <w:szCs w:val="25"/>
        </w:rPr>
        <w:t xml:space="preserve">Dana (built via Claude Code)</w:t>
      </w:r>
    </w:p>
    <w:p>
      <w:pPr>
        <w:pStyle w:val="ListParagraph"/>
        <w:numPr>
          <w:ilvl w:val="0"/>
          <w:numId w:val="2"/>
        </w:numPr>
        <w:spacing w:after="100" w:line="276"/>
      </w:pPr>
      <w:r>
        <w:rPr>
          <w:color w:val="2B2B2B"/>
          <w:sz w:val="22"/>
          <w:szCs w:val="22"/>
        </w:rPr>
        <w:t xml:space="preserve">Change the site date to October 1 and install the Pixel + GA4 (this week).</w:t>
      </w:r>
    </w:p>
    <w:p>
      <w:pPr>
        <w:pStyle w:val="ListParagraph"/>
        <w:numPr>
          <w:ilvl w:val="0"/>
          <w:numId w:val="2"/>
        </w:numPr>
        <w:spacing w:after="100" w:line="276"/>
      </w:pPr>
      <w:r>
        <w:rPr>
          <w:color w:val="2B2B2B"/>
          <w:sz w:val="22"/>
          <w:szCs w:val="22"/>
        </w:rPr>
        <w:t xml:space="preserve">Add the email step to the quiz results — a soft, skippable ask after your archetype is revealed (not a hard wall).</w:t>
      </w:r>
    </w:p>
    <w:p>
      <w:pPr>
        <w:pStyle w:val="ListParagraph"/>
        <w:numPr>
          <w:ilvl w:val="0"/>
          <w:numId w:val="2"/>
        </w:numPr>
        <w:spacing w:after="100" w:line="276"/>
      </w:pPr>
      <w:r>
        <w:rPr>
          <w:color w:val="2B2B2B"/>
          <w:sz w:val="22"/>
          <w:szCs w:val="22"/>
        </w:rPr>
        <w:t xml:space="preserve">Upgrade Mailchimp sync so every subscriber carries their archetype and where they came from.</w:t>
      </w:r>
    </w:p>
    <w:p>
      <w:pPr>
        <w:pStyle w:val="ListParagraph"/>
        <w:numPr>
          <w:ilvl w:val="0"/>
          <w:numId w:val="2"/>
        </w:numPr>
        <w:spacing w:after="100" w:line="276"/>
      </w:pPr>
      <w:r>
        <w:rPr>
          <w:color w:val="2B2B2B"/>
          <w:sz w:val="22"/>
          <w:szCs w:val="22"/>
        </w:rPr>
        <w:t xml:space="preserve">Set up the free Looker Studio dashboard (your Monday five numbers, computed from our own database + Google Analytics) and link it from the admin home page.</w:t>
      </w:r>
    </w:p>
    <w:p>
      <w:pPr>
        <w:pStyle w:val="ListParagraph"/>
        <w:numPr>
          <w:ilvl w:val="0"/>
          <w:numId w:val="2"/>
        </w:numPr>
        <w:spacing w:after="100" w:line="276"/>
      </w:pPr>
      <w:r>
        <w:rPr>
          <w:color w:val="2B2B2B"/>
          <w:sz w:val="22"/>
          <w:szCs w:val="22"/>
        </w:rPr>
        <w:t xml:space="preserve">Later: the shareable archetype card, and (only if needed) the in-ad mini-quiz plumbing.</w:t>
      </w:r>
    </w:p>
    <w:p>
      <w:pPr>
        <w:pStyle w:val="Heading2"/>
        <w:spacing w:after="140" w:before="280"/>
      </w:pPr>
      <w:r>
        <w:rPr>
          <w:rFonts w:ascii="Calibri" w:cs="Calibri" w:eastAsia="Calibri" w:hAnsi="Calibri"/>
          <w:b/>
          <w:bCs/>
          <w:color w:val="2B2B2B"/>
          <w:sz w:val="25"/>
          <w:szCs w:val="25"/>
        </w:rPr>
        <w:t xml:space="preserve">Camila</w:t>
      </w:r>
    </w:p>
    <w:p>
      <w:pPr>
        <w:pStyle w:val="ListParagraph"/>
        <w:numPr>
          <w:ilvl w:val="0"/>
          <w:numId w:val="2"/>
        </w:numPr>
        <w:spacing w:after="100" w:line="276"/>
      </w:pPr>
      <w:r>
        <w:rPr>
          <w:color w:val="2B2B2B"/>
          <w:sz w:val="22"/>
          <w:szCs w:val="22"/>
        </w:rPr>
        <w:t xml:space="preserve">Review and fix the five welcome emails — Dana and Claude write the first drafts; your job is making them sound right (voice, rhythm, imagery). Email #1: "You’re [Archetype]. Here’s why."</w:t>
      </w:r>
    </w:p>
    <w:p>
      <w:pPr>
        <w:pStyle w:val="ListParagraph"/>
        <w:numPr>
          <w:ilvl w:val="0"/>
          <w:numId w:val="2"/>
        </w:numPr>
        <w:spacing w:after="100" w:line="276"/>
      </w:pPr>
      <w:r>
        <w:rPr>
          <w:color w:val="2B2B2B"/>
          <w:sz w:val="22"/>
          <w:szCs w:val="22"/>
        </w:rPr>
        <w:t xml:space="preserve">Set up the welcome journey in Mailchimp with Dana (trigger: someone completes the quiz).</w:t>
      </w:r>
    </w:p>
    <w:p>
      <w:pPr>
        <w:pStyle w:val="ListParagraph"/>
        <w:numPr>
          <w:ilvl w:val="0"/>
          <w:numId w:val="2"/>
        </w:numPr>
        <w:spacing w:after="100" w:line="276"/>
      </w:pPr>
      <w:r>
        <w:rPr>
          <w:color w:val="2B2B2B"/>
          <w:sz w:val="22"/>
          <w:szCs w:val="22"/>
        </w:rPr>
        <w:t xml:space="preserve">Plan the first archetype world shoot and the 3–4 posts/week Instagram rhythm.</w:t>
      </w:r>
    </w:p>
    <w:p>
      <w:pPr>
        <w:pStyle w:val="ListParagraph"/>
        <w:numPr>
          <w:ilvl w:val="0"/>
          <w:numId w:val="2"/>
        </w:numPr>
        <w:spacing w:after="100" w:line="276"/>
      </w:pPr>
      <w:r>
        <w:rPr>
          <w:color w:val="2B2B2B"/>
          <w:sz w:val="22"/>
          <w:szCs w:val="22"/>
        </w:rPr>
        <w:t xml:space="preserve">Start the PR mailer list — 20–30 names and addresses for September. No gift box: the mailer is the designed bag itself + a printed archetype card + a personal note. The bag reveal is the story.</w:t>
      </w:r>
    </w:p>
    <w:p>
      <w:pPr>
        <w:pStyle w:val="ListParagraph"/>
        <w:numPr>
          <w:ilvl w:val="0"/>
          <w:numId w:val="2"/>
        </w:numPr>
        <w:spacing w:after="100" w:line="276"/>
      </w:pPr>
      <w:r>
        <w:rPr>
          <w:color w:val="2B2B2B"/>
          <w:sz w:val="22"/>
          <w:szCs w:val="22"/>
        </w:rPr>
        <w:t xml:space="preserve">Create the Meta ad account campaigns in August ($20–40/day, two angles) and log weekly spend in the shared Ad Spend sheet.</w:t>
      </w:r>
    </w:p>
    <w:p>
      <w:pPr>
        <w:pStyle w:val="Heading2"/>
        <w:spacing w:after="140" w:before="280"/>
      </w:pPr>
      <w:r>
        <w:rPr>
          <w:rFonts w:ascii="Calibri" w:cs="Calibri" w:eastAsia="Calibri" w:hAnsi="Calibri"/>
          <w:b/>
          <w:bCs/>
          <w:color w:val="2B2B2B"/>
          <w:sz w:val="25"/>
          <w:szCs w:val="25"/>
        </w:rPr>
        <w:t xml:space="preserve">Together</w:t>
      </w:r>
    </w:p>
    <w:p>
      <w:pPr>
        <w:pStyle w:val="ListParagraph"/>
        <w:numPr>
          <w:ilvl w:val="0"/>
          <w:numId w:val="2"/>
        </w:numPr>
        <w:spacing w:after="100" w:line="276"/>
      </w:pPr>
      <w:r>
        <w:rPr>
          <w:color w:val="2B2B2B"/>
          <w:sz w:val="22"/>
          <w:szCs w:val="22"/>
        </w:rPr>
        <w:t xml:space="preserve">Pricing workshop by August 8 — note: the site currently defaults to $38/bag while the plan’s market reference is $18–24; this gap must be discussed explicitly.</w:t>
      </w:r>
    </w:p>
    <w:p>
      <w:pPr>
        <w:pStyle w:val="ListParagraph"/>
        <w:numPr>
          <w:ilvl w:val="0"/>
          <w:numId w:val="2"/>
        </w:numPr>
        <w:spacing w:after="100" w:line="276"/>
      </w:pPr>
      <w:r>
        <w:rPr>
          <w:color w:val="2B2B2B"/>
          <w:sz w:val="22"/>
          <w:szCs w:val="22"/>
        </w:rPr>
        <w:t xml:space="preserve">Decide the archetype question: the quiz engine scores five archetypes, the site displays six. Marketing content ("six worlds") can’t start until this is settled. Recommendation: five + "Experimental" as a mode, and adjust the plan’s wording.</w:t>
      </w:r>
    </w:p>
    <w:p>
      <w:pPr>
        <w:pStyle w:val="Heading1"/>
        <w:spacing w:after="200" w:before="360"/>
      </w:pPr>
      <w:r>
        <w:rPr>
          <w:rFonts w:ascii="Calibri" w:cs="Calibri" w:eastAsia="Calibri" w:hAnsi="Calibri"/>
          <w:b/>
          <w:bCs/>
          <w:color w:val="B0532B"/>
          <w:sz w:val="32"/>
          <w:szCs w:val="32"/>
        </w:rPr>
        <w:t xml:space="preserve">4. "Take the quiz on the ad" — how it will work</w:t>
      </w:r>
    </w:p>
    <w:p>
      <w:pPr>
        <w:spacing w:after="160" w:line="276"/>
      </w:pPr>
      <w:r>
        <w:rPr>
          <w:rFonts w:ascii="Calibri" w:cs="Calibri" w:eastAsia="Calibri" w:hAnsi="Calibri"/>
          <w:color w:val="2B2B2B"/>
          <w:sz w:val="22"/>
          <w:szCs w:val="22"/>
        </w:rPr>
        <w:t xml:space="preserve">You can’t run our real quiz inside an Instagram ad — Meta doesn’t allow custom interactive logic in regular ads. But we get the same effect two ways:</w:t>
      </w:r>
    </w:p>
    <w:p>
      <w:pPr>
        <w:pStyle w:val="ListParagraph"/>
        <w:numPr>
          <w:ilvl w:val="0"/>
          <w:numId w:val="2"/>
        </w:numPr>
        <w:spacing w:after="100" w:line="276"/>
      </w:pPr>
      <w:r>
        <w:rPr>
          <w:b/>
          <w:bCs/>
          <w:color w:val="2B2B2B"/>
          <w:sz w:val="22"/>
          <w:szCs w:val="22"/>
        </w:rPr>
        <w:t xml:space="preserve">Now — one tap to the quiz.</w:t>
      </w:r>
      <w:r>
        <w:rPr>
          <w:color w:val="2B2B2B"/>
          <w:sz w:val="22"/>
          <w:szCs w:val="22"/>
        </w:rPr>
        <w:t xml:space="preserve"> The ad is one beautiful frame with one promise ("No more guessing in front of forty bags") and one tap — straight into the quiz on our site. With the Pixel installed, Meta learns which people actually finish the quiz and finds more of them. This keeps the full reveal experience and is where we start in August.</w:t>
      </w:r>
    </w:p>
    <w:p>
      <w:pPr>
        <w:pStyle w:val="ListParagraph"/>
        <w:numPr>
          <w:ilvl w:val="0"/>
          <w:numId w:val="2"/>
        </w:numPr>
        <w:spacing w:after="100" w:line="276"/>
      </w:pPr>
      <w:r>
        <w:rPr>
          <w:b/>
          <w:bCs/>
          <w:color w:val="2B2B2B"/>
          <w:sz w:val="22"/>
          <w:szCs w:val="22"/>
        </w:rPr>
        <w:t xml:space="preserve">September test, if needed — the mini-quiz inside the ad.</w:t>
      </w:r>
      <w:r>
        <w:rPr>
          <w:color w:val="2B2B2B"/>
          <w:sz w:val="22"/>
          <w:szCs w:val="22"/>
        </w:rPr>
        <w:t xml:space="preserve"> Meta’s lead ads allow a short form inside Instagram itself, including a few multiple-choice questions — so a 3-question mini-quiz can run entirely in-app, with the email pre-filled by Meta. The match then arrives by email: "Your match is on its way to your inbox." Lower friction, less brand magic — we test it only if the first approach costs more than $4 per subscriber.</w:t>
      </w:r>
    </w:p>
    <w:p>
      <w:pPr>
        <w:pStyle w:val="Heading1"/>
        <w:spacing w:after="200" w:before="360"/>
      </w:pPr>
      <w:r>
        <w:rPr>
          <w:rFonts w:ascii="Calibri" w:cs="Calibri" w:eastAsia="Calibri" w:hAnsi="Calibri"/>
          <w:b/>
          <w:bCs/>
          <w:color w:val="B0532B"/>
          <w:sz w:val="32"/>
          <w:szCs w:val="32"/>
        </w:rPr>
        <w:t xml:space="preserve">5. The Monday dashboard</w:t>
      </w:r>
    </w:p>
    <w:p>
      <w:pPr>
        <w:spacing w:after="160" w:line="276"/>
      </w:pPr>
      <w:r>
        <w:rPr>
          <w:rFonts w:ascii="Calibri" w:cs="Calibri" w:eastAsia="Calibri" w:hAnsi="Calibri"/>
          <w:color w:val="2B2B2B"/>
          <w:sz w:val="22"/>
          <w:szCs w:val="22"/>
        </w:rPr>
        <w:t xml:space="preserve">Instead of building a dashboard from scratch, we use Looker Studio — Google’s free reporting tool — connected directly to our database and Google Analytics. You get a link (no admin login needed) with the exact five numbers from Section 09 of the plan; the admin home page links to it. Only ad spend is manual: one shared Google Sheet you fill once a week.</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400"/>
        <w:gridCol w:w="4300"/>
      </w:tblGrid>
      <w:tr>
        <w:tc>
          <w:tcPr>
            <w:tcW w:type="dxa" w:w="3400"/>
            <w:tcBorders>
              <w:top w:val="single" w:color="DDD5C8" w:sz="4"/>
              <w:left w:val="none"/>
              <w:bottom w:val="single" w:color="DDD5C8" w:sz="4"/>
              <w:right w:val="none"/>
            </w:tcBorders>
            <w:shd w:fill="B0532B"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Card</w:t>
            </w:r>
          </w:p>
        </w:tc>
        <w:tc>
          <w:tcPr>
            <w:tcW w:type="dxa" w:w="4300"/>
            <w:tcBorders>
              <w:top w:val="single" w:color="DDD5C8" w:sz="4"/>
              <w:left w:val="none"/>
              <w:bottom w:val="single" w:color="DDD5C8" w:sz="4"/>
              <w:right w:val="none"/>
            </w:tcBorders>
            <w:shd w:fill="B0532B"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Where the number comes from</w:t>
            </w:r>
          </w:p>
        </w:tc>
      </w:tr>
      <w:tr>
        <w:tc>
          <w:tcPr>
            <w:tcW w:type="dxa" w:w="34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Email list — quiz-qualified vs. total</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Our own database + Mailchimp, split by where each subscriber came from</w:t>
            </w:r>
          </w:p>
        </w:tc>
      </w:tr>
      <w:tr>
        <w:tc>
          <w:tcPr>
            <w:tcW w:type="dxa" w:w="34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Quiz completion rate</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New quiz tracking (starts vs. finishes), target 60%+</w:t>
            </w:r>
          </w:p>
        </w:tc>
      </w:tr>
      <w:tr>
        <w:tc>
          <w:tcPr>
            <w:tcW w:type="dxa" w:w="34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Cost per subscriber</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The Ad Spend sheet you fill weekly, divided by new quiz-qualified emails — healthy is $2–4</w:t>
            </w:r>
          </w:p>
        </w:tc>
      </w:tr>
      <w:tr>
        <w:tc>
          <w:tcPr>
            <w:tcW w:type="dxa" w:w="34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Launch conversion</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Activates at launch, once checkout is live</w:t>
            </w:r>
          </w:p>
        </w:tc>
      </w:tr>
      <w:tr>
        <w:tc>
          <w:tcPr>
            <w:tcW w:type="dxa" w:w="34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Cost per first order (CAC)</w:t>
            </w:r>
          </w:p>
        </w:tc>
        <w:tc>
          <w:tcPr>
            <w:tcW w:type="dxa" w:w="4300"/>
            <w:tcBorders>
              <w:top w:val="single" w:color="DDD5C8" w:sz="4"/>
              <w:left w:val="none"/>
              <w:bottom w:val="single" w:color="DDD5C8" w:sz="4"/>
              <w:right w:val="none"/>
            </w:tcBorders>
            <w:tcMar>
              <w:top w:type="dxa" w:w="90"/>
              <w:left w:type="dxa" w:w="120"/>
              <w:bottom w:type="dxa" w:w="90"/>
              <w:right w:type="dxa" w:w="120"/>
            </w:tcMar>
          </w:tcPr>
          <w:p>
            <w:pPr>
              <w:spacing w:after="0" w:line="260"/>
            </w:pPr>
            <w:r>
              <w:rPr>
                <w:rFonts w:ascii="Calibri" w:cs="Calibri" w:eastAsia="Calibri" w:hAnsi="Calibri"/>
                <w:b w:val="false"/>
                <w:bCs w:val="false"/>
                <w:color w:val="2B2B2B"/>
                <w:sz w:val="20"/>
                <w:szCs w:val="20"/>
              </w:rPr>
              <w:t xml:space="preserve">Activates at launch</w:t>
            </w:r>
          </w:p>
        </w:tc>
      </w:tr>
    </w:tbl>
    <w:p>
      <w:pPr>
        <w:spacing w:after="160" w:before="160"/>
      </w:pPr>
      <w:r>
        <w:rPr>
          <w:rFonts w:ascii="Calibri" w:cs="Calibri" w:eastAsia="Calibri" w:hAnsi="Calibri"/>
          <w:color w:val="2B2B2B"/>
          <w:sz w:val="22"/>
          <w:szCs w:val="22"/>
        </w:rPr>
        <w:t xml:space="preserve">Plus: which archetypes dominate the list (this quietly tells us how much of each coffee to stock for October) and week-by-week list growth against the 1,200–2,000 launch-day target.</w:t>
      </w:r>
    </w:p>
    <w:p>
      <w:pPr>
        <w:pStyle w:val="Heading1"/>
        <w:spacing w:after="200" w:before="360"/>
      </w:pPr>
      <w:r>
        <w:rPr>
          <w:rFonts w:ascii="Calibri" w:cs="Calibri" w:eastAsia="Calibri" w:hAnsi="Calibri"/>
          <w:b/>
          <w:bCs/>
          <w:color w:val="B0532B"/>
          <w:sz w:val="32"/>
          <w:szCs w:val="32"/>
        </w:rPr>
        <w:t xml:space="preserve">6. Your Claude marketing assistant</w:t>
      </w:r>
    </w:p>
    <w:p>
      <w:pPr>
        <w:spacing w:after="160" w:line="276"/>
      </w:pPr>
      <w:r>
        <w:rPr>
          <w:rFonts w:ascii="Calibri" w:cs="Calibri" w:eastAsia="Calibri" w:hAnsi="Calibri"/>
          <w:color w:val="2B2B2B"/>
          <w:sz w:val="22"/>
          <w:szCs w:val="22"/>
        </w:rPr>
        <w:t xml:space="preserve">A dedicated Claude project is being set up for you with the brand documents, the marketing plan, and the copy bank loaded in — plus standing instructions that enforce the voice rules automatically (calm, no exclamation points, no jargon, no variety-framing, everything laddered to one of the four pillars).</w:t>
      </w:r>
    </w:p>
    <w:p>
      <w:pPr>
        <w:spacing w:after="160" w:line="276"/>
      </w:pPr>
      <w:r>
        <w:rPr>
          <w:rFonts w:ascii="Calibri" w:cs="Calibri" w:eastAsia="Calibri" w:hAnsi="Calibri"/>
          <w:color w:val="2B2B2B"/>
          <w:sz w:val="22"/>
          <w:szCs w:val="22"/>
        </w:rPr>
        <w:t xml:space="preserve">Use it like a marketing colleague who has memorized the brand book. Ask it for: editing passes on the welcome-email drafts (Dana writes v1 with Claude; you make them sound like us) · captions and Reels scripts for each archetype world · two ad-angle variants · notes for PR mailers · a weekly checklist from the plan. It will always tell you why a draft fits the brand — and it will refuse to shout.</w:t>
      </w:r>
    </w:p>
    <w:p>
      <w:pPr>
        <w:spacing w:after="160" w:line="276"/>
      </w:pPr>
      <w:r>
        <w:rPr>
          <w:rFonts w:ascii="Calibri" w:cs="Calibri" w:eastAsia="Calibri" w:hAnsi="Calibri"/>
          <w:i/>
          <w:iCs/>
          <w:color w:val="6B6560"/>
          <w:sz w:val="22"/>
          <w:szCs w:val="22"/>
        </w:rPr>
        <w:t xml:space="preserve">One habit: when a draft doesn’t sound right, say so and correct it — the project learns your voice over time.</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2026-07-16T22:13:20.998Z</dcterms:created>
  <dcterms:modified xsi:type="dcterms:W3CDTF">2026-07-16T22:13:20.999Z</dcterms:modified>
</cp:coreProperties>
</file>

<file path=docProps/custom.xml><?xml version="1.0" encoding="utf-8"?>
<Properties xmlns="http://schemas.openxmlformats.org/officeDocument/2006/custom-properties" xmlns:vt="http://schemas.openxmlformats.org/officeDocument/2006/docPropsVTypes"/>
</file>