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Technical Requirements Document</w:t>
            </w:r>
          </w:p>
        </w:tc>
      </w:tr>
    </w:tbl>
    <w:p>
      <w:pPr>
        <w:spacing w:after="26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Covers architecture requirements, integration specifications, performance requirements, security specifications, and acceptance criteria.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System / Project Name:</w:t>
            </w:r>
          </w:p>
        </w:tc>
        <w:tc>
          <w:tcPr>
            <w:tcW w:type="dxa" w:w="6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Customer Data Platform Migration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Version:</w:t>
            </w:r>
          </w:p>
        </w:tc>
        <w:tc>
          <w:tcPr>
            <w:tcW w:type="dxa" w:w="6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v1.0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Author:</w:t>
            </w:r>
          </w:p>
        </w:tc>
        <w:tc>
          <w:tcPr>
            <w:tcW w:type="dxa" w:w="6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R. Ionescu, Technical Lead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Status:</w:t>
            </w:r>
          </w:p>
        </w:tc>
        <w:tc>
          <w:tcPr>
            <w:tcW w:type="dxa" w:w="6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Draft / In Review / Approved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 Architecture Requirements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System Overview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One paragraph: what this system does and where it sits relative to existing systems. Example: “The Customer Data Platform consolidates customer records currently fragmented across the CRM, billing system, and support ticketing tool into a single queryable source, replacing nightly batch exports with near-real-time sync.”</w:t>
      </w:r>
    </w:p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Architecture Principles &amp; Constraints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50"/>
        <w:gridCol w:w="2500"/>
      </w:tblGrid>
      <w:tr>
        <w:trPr>
          <w:tblHeader/>
        </w:trPr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3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Must support horizontal scaling without downtime</w:t>
            </w:r>
          </w:p>
        </w:tc>
        <w:tc>
          <w:tcPr>
            <w:tcW w:type="dxa" w:w="3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Customer record volume expected to grow 3x within 18 months</w:t>
            </w:r>
          </w:p>
        </w:tc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4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System / Component Diagram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A3C5E" w:sz="4"/>
              <w:left w:val="single" w:color="1A3C5E" w:sz="24"/>
              <w:bottom w:val="single" w:color="1A3C5E" w:sz="4"/>
              <w:right w:val="single" w:color="1A3C5E" w:sz="4"/>
            </w:tcBorders>
            <w:shd w:fill="EAF1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[Insert architecture or component diagram here — show major components, data flow direction, and system boundaries. A diagram earns its place in this document only if it shows something the text can't; don't include one just to have one.]</w:t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Technology Stack Constraints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Approved languages/frameworks: [list, or reference an existing internal standards document]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Must integrate with existing infrastructure: [e.g. existing identity provider, existing data warehouse]</w:t>
      </w:r>
    </w:p>
    <w:p>
      <w:pPr>
        <w:spacing w:after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Explicitly out of scope for this architecture: [state what this system will NOT attempt to solve, to prevent scope creep during design]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 Integration Specifications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Every integration point needs enough detail that someone unfamiliar with the system could implement against it without needing to ask basic questions.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600"/>
        <w:gridCol w:w="1750"/>
        <w:gridCol w:w="1400"/>
        <w:gridCol w:w="1500"/>
      </w:tblGrid>
      <w:tr>
        <w:trPr>
          <w:tblHeader/>
        </w:trP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/ API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Protocol</w:t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Exchanged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 / Frequency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Billing System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Inbound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REST API</w:t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Customer payment status, invoice history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Every 15 min, polled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Finance Systems Team</w:t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90" w:before="200"/>
      </w:pPr>
      <w:r>
        <w:rPr>
          <w:rFonts w:ascii="Arial" w:cs="Arial" w:eastAsia="Arial" w:hAnsi="Arial"/>
          <w:b/>
          <w:bCs/>
          <w:color w:val="1A3C5E"/>
          <w:sz w:val="19"/>
          <w:szCs w:val="19"/>
        </w:rPr>
        <w:t xml:space="preserve">For Each Integration, Also Specify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Authentication method (API key, OAuth, mutual TLS) and where credentials are stored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Rate limits, both what the integration imposes and what your system can tolerate receiving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Error handling expectations — retry behavior, timeout thresholds, what happens if the integration is unavailable</w:t>
      </w:r>
    </w:p>
    <w:p>
      <w:pPr>
        <w:spacing w:after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Data format and schema, with a reference to the authoritative schema definition rather than duplicating it here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 Performance Requirements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 performance requirement that can't be measured can't be verified. Every row below needs both a specific target and a stated measurement method — “must be fast” is not a requirement, it's an intention.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50"/>
        <w:gridCol w:w="3100"/>
      </w:tblGrid>
      <w:tr>
        <w:trPr>
          <w:tblHeader/>
        </w:trP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Measurement Method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Response Time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API p95 response time</w:t>
            </w:r>
          </w:p>
        </w:tc>
        <w:tc>
          <w:tcPr>
            <w:tcW w:type="dxa" w:w="2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Under 300ms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Application performance monitoring, measured over rolling 7-day window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Throughput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Sustained request rate</w:t>
            </w:r>
          </w:p>
        </w:tc>
        <w:tc>
          <w:tcPr>
            <w:tcW w:type="dxa" w:w="2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500 req/sec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Load testing prior to launch, repeated quarterly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Uptime</w:t>
            </w:r>
          </w:p>
        </w:tc>
        <w:tc>
          <w:tcPr>
            <w:tcW w:type="dxa" w:w="2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99.9%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Uptime monitoring, measured monthly, excluding planned maintenance windows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Scalability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Concurrent users</w:t>
            </w:r>
          </w:p>
        </w:tc>
        <w:tc>
          <w:tcPr>
            <w:tcW w:type="dxa" w:w="2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10,000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Load testing with simulated concurrent sessions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 Security Specifications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400"/>
        <w:gridCol w:w="1950"/>
      </w:tblGrid>
      <w:tr>
        <w:trPr>
          <w:tblHeader/>
        </w:trP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Security Area</w:t>
            </w:r>
          </w:p>
        </w:tc>
        <w:tc>
          <w:tcPr>
            <w:tcW w:type="dxa" w:w="3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9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3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All access requires multi-factor authentication via the existing corporate identity provider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Must</w:t>
            </w:r>
          </w:p>
        </w:tc>
        <w:tc>
          <w:tcPr>
            <w:tcW w:type="dxa" w:w="19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Security review before launch</w:t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Data Protection</w:t>
            </w:r>
          </w:p>
        </w:tc>
        <w:tc>
          <w:tcPr>
            <w:tcW w:type="dxa" w:w="3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All customer data encrypted at rest (AES-256) and in transit (TLS 1.2+)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Must</w:t>
            </w:r>
          </w:p>
        </w:tc>
        <w:tc>
          <w:tcPr>
            <w:tcW w:type="dxa" w:w="19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Automated config scan, verified quarterly</w:t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Compliance</w:t>
            </w:r>
          </w:p>
        </w:tc>
        <w:tc>
          <w:tcPr>
            <w:tcW w:type="dxa" w:w="3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Must support data subject deletion requests within regulatory timeframe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Must</w:t>
            </w:r>
          </w:p>
        </w:tc>
        <w:tc>
          <w:tcPr>
            <w:tcW w:type="dxa" w:w="19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Legal/compliance sign-off</w:t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Audit &amp; Logging</w:t>
            </w:r>
          </w:p>
        </w:tc>
        <w:tc>
          <w:tcPr>
            <w:tcW w:type="dxa" w:w="3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All data access and modification logged with user, timestamp, and action, retained for 12 months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Should</w:t>
            </w:r>
          </w:p>
        </w:tc>
        <w:tc>
          <w:tcPr>
            <w:tcW w:type="dxa" w:w="19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Log review during security audit</w:t>
            </w:r>
          </w:p>
        </w:tc>
      </w:tr>
      <w:tr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Vulnerability Management</w:t>
            </w:r>
          </w:p>
        </w:tc>
        <w:tc>
          <w:tcPr>
            <w:tcW w:type="dxa" w:w="3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Dependencies scanned for known vulnerabilities on every build; critical findings block deployment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Must</w:t>
            </w:r>
          </w:p>
        </w:tc>
        <w:tc>
          <w:tcPr>
            <w:tcW w:type="dxa" w:w="19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CI/CD pipeline scan results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 Acceptance Criteria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Acceptance criteria confirm the requirements above were actually met — each one needs to be independently verifiable, not just a restatement that the requirement was “met.”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50"/>
        <w:gridCol w:w="2100"/>
        <w:gridCol w:w="1800"/>
      </w:tblGrid>
      <w:tr>
        <w:trPr>
          <w:tblHeader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Area</w:t>
            </w:r>
          </w:p>
        </w:tc>
        <w:tc>
          <w:tcPr>
            <w:tcW w:type="dxa" w:w="3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Verification Method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 Owner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System sustains 500 req/sec for 30 minutes with p95 response time under 300ms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Load test report reviewed and approved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Engineering Lead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Security</w:t>
            </w:r>
          </w:p>
        </w:tc>
        <w:tc>
          <w:tcPr>
            <w:tcW w:type="dxa" w:w="3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No critical or high-severity findings in pre-launch security scan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Security scan report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Security Lead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32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Rows and fields shown in italics are examples — delete them before use. Add rows as needed by copying an existing table row.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2026-09-10T06:30:16.918Z</dcterms:created>
  <dcterms:modified xsi:type="dcterms:W3CDTF">2026-09-10T06:30:16.926Z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