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1A3C5E" w:val="clear"/>
            <w:tcMar>
              <w:top w:type="dxa" w:w="200"/>
              <w:left w:type="dxa" w:w="200"/>
              <w:bottom w:type="dxa" w:w="200"/>
              <w:right w:type="dxa" w:w="200"/>
            </w:tcMar>
          </w:tcPr>
          <w:p>
            <w:r>
              <w:rPr>
                <w:rFonts w:ascii="Arial" w:cs="Arial" w:eastAsia="Arial" w:hAnsi="Arial"/>
                <w:b/>
                <w:bCs/>
                <w:color w:val="FFFFFF"/>
                <w:sz w:val="32"/>
                <w:szCs w:val="32"/>
              </w:rPr>
              <w:t xml:space="preserve">Workshop Design Template</w:t>
            </w:r>
          </w:p>
        </w:tc>
      </w:tr>
    </w:tbl>
    <w:p>
      <w:pPr>
        <w:spacing w:after="260" w:before="0"/>
      </w:pPr>
      <w:r>
        <w:rPr>
          <w:rFonts w:ascii="Arial" w:cs="Arial" w:eastAsia="Arial" w:hAnsi="Arial"/>
          <w:b w:val="false"/>
          <w:bCs w:val="false"/>
          <w:i/>
          <w:iCs/>
          <w:color w:val="808080"/>
          <w:sz w:val="18"/>
          <w:szCs w:val="18"/>
        </w:rPr>
        <w:t xml:space="preserve">Covers the workshop design template, an objective-setting framework, a bank of 10 ready-to-use activities, and an evaluation form.</w:t>
      </w:r>
    </w:p>
    <w:p>
      <w:pPr>
        <w:pStyle w:val="Heading1"/>
        <w:pBdr>
          <w:bottom w:val="single" w:color="1A3C5E" w:sz="6" w:space="4"/>
        </w:pBdr>
        <w:spacing w:after="140" w:before="0"/>
      </w:pPr>
      <w:r>
        <w:rPr>
          <w:rFonts w:ascii="Arial" w:cs="Arial" w:eastAsia="Arial" w:hAnsi="Arial"/>
          <w:b/>
          <w:bCs/>
          <w:color w:val="1A3C5E"/>
          <w:sz w:val="24"/>
          <w:szCs w:val="24"/>
        </w:rPr>
        <w:t xml:space="preserve">1. Workshop Design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Workshop Title:</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e.g. Q2 Roadmap Prioritization Workshop</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Facilitator:</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e.g. M. Nowak</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Date &amp; Duration:</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e.g. 2025-02-10, Half-day (9:00-12:30)</w:t>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Audience:</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e.g. Product, Engineering, and Design leads (12 participants)</w:t>
            </w:r>
          </w:p>
        </w:tc>
      </w:tr>
    </w:tbl>
    <w:p>
      <w:pPr>
        <w:spacing w:before="200"/>
      </w:pPr>
    </w:p>
    <w:p>
      <w:pPr>
        <w:spacing w:after="60" w:before="0"/>
      </w:pPr>
      <w:r>
        <w:rPr>
          <w:rFonts w:ascii="Arial" w:cs="Arial" w:eastAsia="Arial" w:hAnsi="Arial"/>
          <w:b/>
          <w:bCs/>
          <w:i w:val="false"/>
          <w:iCs w:val="false"/>
          <w:color w:val="1A1A1A"/>
          <w:sz w:val="18"/>
          <w:szCs w:val="18"/>
        </w:rPr>
        <w:t xml:space="preserve">Workshop Overview</w:t>
      </w:r>
    </w:p>
    <w:p>
      <w:pPr>
        <w:spacing w:after="140" w:before="0"/>
      </w:pPr>
      <w:r>
        <w:rPr>
          <w:rFonts w:ascii="Arial" w:cs="Arial" w:eastAsia="Arial" w:hAnsi="Arial"/>
          <w:b w:val="false"/>
          <w:bCs w:val="false"/>
          <w:i/>
          <w:iCs/>
          <w:color w:val="808080"/>
          <w:sz w:val="18"/>
          <w:szCs w:val="18"/>
        </w:rPr>
        <w:t xml:space="preserve">One paragraph: what this workshop is for and why it's happening now. Example: “This workshop brings together the three functional leads to agree Q2 priorities collaboratively, replacing last quarter's process where priorities were set independently and frequently conflicted.”</w:t>
      </w:r>
    </w:p>
    <w:p>
      <w:pPr>
        <w:spacing w:after="100" w:before="220"/>
      </w:pPr>
      <w:r>
        <w:rPr>
          <w:rFonts w:ascii="Arial" w:cs="Arial" w:eastAsia="Arial" w:hAnsi="Arial"/>
          <w:b/>
          <w:bCs/>
          <w:i w:val="false"/>
          <w:iCs w:val="false"/>
          <w:color w:val="1A1A1A"/>
          <w:sz w:val="18"/>
          <w:szCs w:val="18"/>
        </w:rPr>
        <w:t xml:space="preserve">Agenda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2850"/>
      </w:tblGrid>
      <w:tr>
        <w:trPr>
          <w:tblHeader/>
        </w:trPr>
        <w:tc>
          <w:tcPr>
            <w:tcW w:type="dxa" w:w="13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6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Activity</w:t>
            </w:r>
          </w:p>
        </w:tc>
        <w:tc>
          <w:tcPr>
            <w:tcW w:type="dxa" w:w="26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c>
          <w:tcPr>
            <w:tcW w:type="dxa" w:w="285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 Needed</w:t>
            </w:r>
          </w:p>
        </w:tc>
      </w:tr>
      <w:tr>
        <w:tc>
          <w:tcPr>
            <w:tcW w:type="dxa" w:w="13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iCs/>
                <w:color w:val="808080"/>
                <w:sz w:val="16"/>
                <w:szCs w:val="16"/>
              </w:rPr>
              <w:t xml:space="preserve">9:00-9:15</w:t>
            </w:r>
          </w:p>
        </w:tc>
        <w:tc>
          <w:tcPr>
            <w:tcW w:type="dxa" w:w="2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iCs/>
                <w:color w:val="808080"/>
                <w:sz w:val="16"/>
                <w:szCs w:val="16"/>
              </w:rPr>
              <w:t xml:space="preserve">Welcome &amp; Two Truths and a Goal</w:t>
            </w:r>
          </w:p>
        </w:tc>
        <w:tc>
          <w:tcPr>
            <w:tcW w:type="dxa" w:w="2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iCs/>
                <w:color w:val="808080"/>
                <w:sz w:val="16"/>
                <w:szCs w:val="16"/>
              </w:rPr>
              <w:t xml:space="preserve">Warm up and surface individual goals</w:t>
            </w:r>
          </w:p>
        </w:tc>
        <w:tc>
          <w:tcPr>
            <w:tcW w:type="dxa" w:w="28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iCs/>
                <w:color w:val="808080"/>
                <w:sz w:val="16"/>
                <w:szCs w:val="16"/>
              </w:rPr>
              <w:t xml:space="preserve">None</w:t>
            </w:r>
          </w:p>
        </w:tc>
      </w:tr>
      <w:tr>
        <w:tc>
          <w:tcPr>
            <w:tcW w:type="dxa" w:w="13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26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26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285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13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26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26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285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bl>
    <w:p>
      <w:pPr>
        <w:spacing w:after="100" w:before="220"/>
      </w:pPr>
      <w:r>
        <w:rPr>
          <w:rFonts w:ascii="Arial" w:cs="Arial" w:eastAsia="Arial" w:hAnsi="Arial"/>
          <w:b/>
          <w:bCs/>
          <w:i w:val="false"/>
          <w:iCs w:val="false"/>
          <w:color w:val="1A1A1A"/>
          <w:sz w:val="18"/>
          <w:szCs w:val="18"/>
        </w:rPr>
        <w:t xml:space="preserve">Logistics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A3C5E" w:sz="4"/>
              <w:left w:val="single" w:color="1A3C5E" w:sz="24"/>
              <w:bottom w:val="single" w:color="1A3C5E" w:sz="4"/>
              <w:right w:val="single" w:color="1A3C5E" w:sz="4"/>
            </w:tcBorders>
            <w:shd w:fill="EAF1F8" w:val="clear"/>
            <w:tcMar>
              <w:top w:type="dxa" w:w="180"/>
              <w:left w:type="dxa" w:w="220"/>
              <w:bottom w:type="dxa" w:w="180"/>
              <w:right w:type="dxa" w:w="220"/>
            </w:tcMar>
          </w:tcPr>
          <w:p>
            <w:pPr>
              <w:spacing w:after="90"/>
            </w:pPr>
            <w:r>
              <w:rPr>
                <w:rFonts w:ascii="Arial" w:cs="Arial" w:eastAsia="Arial" w:hAnsi="Arial"/>
                <w:color w:val="1A1A1A"/>
                <w:sz w:val="18"/>
                <w:szCs w:val="18"/>
              </w:rPr>
              <w:t xml:space="preserve">•  Room booked with layout matching activities (round tables for small groups, open space for fishbowl, etc.)</w:t>
            </w:r>
          </w:p>
          <w:p>
            <w:pPr>
              <w:spacing w:after="90"/>
            </w:pPr>
            <w:r>
              <w:rPr>
                <w:rFonts w:ascii="Arial" w:cs="Arial" w:eastAsia="Arial" w:hAnsi="Arial"/>
                <w:color w:val="1A1A1A"/>
                <w:sz w:val="18"/>
                <w:szCs w:val="18"/>
              </w:rPr>
              <w:t xml:space="preserve">•  Materials prepared: sticky notes, markers, flip charts, dot-voting stickers as needed per activity</w:t>
            </w:r>
          </w:p>
          <w:p>
            <w:pPr>
              <w:spacing w:after="90"/>
            </w:pPr>
            <w:r>
              <w:rPr>
                <w:rFonts w:ascii="Arial" w:cs="Arial" w:eastAsia="Arial" w:hAnsi="Arial"/>
                <w:color w:val="1A1A1A"/>
                <w:sz w:val="18"/>
                <w:szCs w:val="18"/>
              </w:rPr>
              <w:t xml:space="preserve">•  Tech tested: screen, video call link if hybrid, timer visible to facilitator</w:t>
            </w:r>
          </w:p>
          <w:p>
            <w:pPr>
              <w:spacing w:after="90"/>
            </w:pPr>
            <w:r>
              <w:rPr>
                <w:rFonts w:ascii="Arial" w:cs="Arial" w:eastAsia="Arial" w:hAnsi="Arial"/>
                <w:color w:val="1A1A1A"/>
                <w:sz w:val="18"/>
                <w:szCs w:val="18"/>
              </w:rPr>
              <w:t xml:space="preserve">•  Pre-read or pre-work sent to participants with enough notice</w:t>
            </w:r>
          </w:p>
          <w:p>
            <w:pPr>
              <w:spacing w:after="0"/>
            </w:pPr>
            <w:r>
              <w:rPr>
                <w:rFonts w:ascii="Arial" w:cs="Arial" w:eastAsia="Arial" w:hAnsi="Arial"/>
                <w:color w:val="1A1A1A"/>
                <w:sz w:val="18"/>
                <w:szCs w:val="18"/>
              </w:rPr>
              <w:t xml:space="preserve">•  Evaluation form ready to distribute at close</w:t>
            </w:r>
          </w:p>
        </w:tc>
      </w:tr>
    </w:tbl>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2. Objective-Setting Framework</w:t>
      </w:r>
    </w:p>
    <w:p>
      <w:pPr>
        <w:spacing w:after="140" w:before="0"/>
      </w:pPr>
      <w:r>
        <w:rPr>
          <w:rFonts w:ascii="Arial" w:cs="Arial" w:eastAsia="Arial" w:hAnsi="Arial"/>
          <w:b w:val="false"/>
          <w:bCs w:val="false"/>
          <w:i w:val="false"/>
          <w:iCs w:val="false"/>
          <w:color w:val="1A1A1A"/>
          <w:sz w:val="18"/>
          <w:szCs w:val="18"/>
        </w:rPr>
        <w:t xml:space="preserve">Write objectives as what participants will be able to DO by the end, not what topics will be covered. “Discuss the Q2 roadmap” is a topic; “Agree the top 5 Q2 priorities with clear ownership” is an objective — the difference is that the second one is checkable.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A3C5E" w:sz="4"/>
              <w:left w:val="single" w:color="1A3C5E" w:sz="24"/>
              <w:bottom w:val="single" w:color="1A3C5E" w:sz="4"/>
              <w:right w:val="single" w:color="1A3C5E" w:sz="4"/>
            </w:tcBorders>
            <w:shd w:fill="EAF1F8" w:val="clear"/>
            <w:tcMar>
              <w:top w:type="dxa" w:w="180"/>
              <w:left w:type="dxa" w:w="220"/>
              <w:bottom w:type="dxa" w:w="180"/>
              <w:right w:type="dxa" w:w="220"/>
            </w:tcMar>
          </w:tcPr>
          <w:p>
            <w:pPr>
              <w:spacing w:after="100"/>
            </w:pPr>
            <w:r>
              <w:rPr>
                <w:rFonts w:ascii="Arial" w:cs="Arial" w:eastAsia="Arial" w:hAnsi="Arial"/>
                <w:b/>
                <w:bCs/>
                <w:color w:val="1A3C5E"/>
                <w:sz w:val="19"/>
                <w:szCs w:val="19"/>
              </w:rPr>
              <w:t xml:space="preserve">A good objective states:</w:t>
            </w:r>
          </w:p>
          <w:p>
            <w:pPr>
              <w:spacing w:after="90"/>
            </w:pPr>
            <w:r>
              <w:rPr>
                <w:rFonts w:ascii="Arial" w:cs="Arial" w:eastAsia="Arial" w:hAnsi="Arial"/>
                <w:color w:val="1A1A1A"/>
                <w:sz w:val="18"/>
                <w:szCs w:val="18"/>
              </w:rPr>
              <w:t xml:space="preserve">•  What participants will be able to do, decide, or produce by the end</w:t>
            </w:r>
          </w:p>
          <w:p>
            <w:pPr>
              <w:spacing w:after="90"/>
            </w:pPr>
            <w:r>
              <w:rPr>
                <w:rFonts w:ascii="Arial" w:cs="Arial" w:eastAsia="Arial" w:hAnsi="Arial"/>
                <w:color w:val="1A1A1A"/>
                <w:sz w:val="18"/>
                <w:szCs w:val="18"/>
              </w:rPr>
              <w:t xml:space="preserve">•  A concrete enough outcome that you could genuinely fail to achieve it</w:t>
            </w:r>
          </w:p>
          <w:p>
            <w:pPr>
              <w:spacing w:after="0"/>
            </w:pPr>
            <w:r>
              <w:rPr>
                <w:rFonts w:ascii="Arial" w:cs="Arial" w:eastAsia="Arial" w:hAnsi="Arial"/>
                <w:color w:val="1A1A1A"/>
                <w:sz w:val="18"/>
                <w:szCs w:val="18"/>
              </w:rPr>
              <w:t xml:space="preserve">•  No more than 3-4 per workshop — more than that and none of them get real attention</w:t>
            </w:r>
          </w:p>
        </w:tc>
      </w:tr>
    </w:tbl>
    <w:p>
      <w:pPr>
        <w:spacing w:after="60" w:before="220"/>
      </w:pPr>
      <w:r>
        <w:rPr>
          <w:rFonts w:ascii="Arial" w:cs="Arial" w:eastAsia="Arial" w:hAnsi="Arial"/>
          <w:b/>
          <w:bCs/>
          <w:i w:val="false"/>
          <w:iCs w:val="false"/>
          <w:color w:val="1A1A1A"/>
          <w:sz w:val="18"/>
          <w:szCs w:val="18"/>
        </w:rPr>
        <w:t xml:space="preserve">Common Pitfalls</w:t>
      </w:r>
    </w:p>
    <w:p>
      <w:pPr>
        <w:spacing w:after="90"/>
      </w:pPr>
      <w:r>
        <w:rPr>
          <w:rFonts w:ascii="Arial" w:cs="Arial" w:eastAsia="Arial" w:hAnsi="Arial"/>
          <w:color w:val="1A1A1A"/>
          <w:sz w:val="18"/>
          <w:szCs w:val="18"/>
        </w:rPr>
        <w:t xml:space="preserve">•  Writing a topic list disguised as objectives (“discuss X, review Y, explore Z”)</w:t>
      </w:r>
    </w:p>
    <w:p>
      <w:pPr>
        <w:spacing w:after="90"/>
      </w:pPr>
      <w:r>
        <w:rPr>
          <w:rFonts w:ascii="Arial" w:cs="Arial" w:eastAsia="Arial" w:hAnsi="Arial"/>
          <w:color w:val="1A1A1A"/>
          <w:sz w:val="18"/>
          <w:szCs w:val="18"/>
        </w:rPr>
        <w:t xml:space="preserve">•  Too many objectives for the time available, so the agenda rushes all of them shallowly</w:t>
      </w:r>
    </w:p>
    <w:p>
      <w:pPr>
        <w:spacing w:after="0"/>
      </w:pPr>
      <w:r>
        <w:rPr>
          <w:rFonts w:ascii="Arial" w:cs="Arial" w:eastAsia="Arial" w:hAnsi="Arial"/>
          <w:color w:val="1A1A1A"/>
          <w:sz w:val="18"/>
          <w:szCs w:val="18"/>
        </w:rPr>
        <w:t xml:space="preserve">•  An objective no one can actually evaluate afterward (“improve alignment” — how would you know?)</w:t>
      </w:r>
    </w:p>
    <w:p>
      <w:pPr>
        <w:spacing w:after="100" w:before="220"/>
      </w:pPr>
      <w:r>
        <w:rPr>
          <w:rFonts w:ascii="Arial" w:cs="Arial" w:eastAsia="Arial" w:hAnsi="Arial"/>
          <w:b/>
          <w:bCs/>
          <w:i w:val="false"/>
          <w:iCs w:val="false"/>
          <w:color w:val="1A1A1A"/>
          <w:sz w:val="18"/>
          <w:szCs w:val="18"/>
        </w:rPr>
        <w:t xml:space="preserve">Objective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Objective</w:t>
            </w:r>
          </w:p>
        </w:tc>
        <w:tc>
          <w:tcPr>
            <w:tcW w:type="dxa" w:w="4675"/>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How We'll Know It's Met</w:t>
            </w:r>
          </w:p>
        </w:tc>
      </w:tr>
      <w:tr>
        <w:tc>
          <w:tcPr>
            <w:tcW w:type="dxa" w:w="4675"/>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iCs/>
                <w:color w:val="808080"/>
                <w:sz w:val="16"/>
                <w:szCs w:val="16"/>
              </w:rPr>
              <w:t xml:space="preserve">Example: Agree the top 5 Q2 priorities with a named owner for each</w:t>
            </w:r>
          </w:p>
        </w:tc>
        <w:tc>
          <w:tcPr>
            <w:tcW w:type="dxa" w:w="4675"/>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iCs/>
                <w:color w:val="808080"/>
                <w:sz w:val="16"/>
                <w:szCs w:val="16"/>
              </w:rPr>
              <w:t xml:space="preserve">A documented, agreed list exists by the end of the session, visible on the shared board</w:t>
            </w:r>
          </w:p>
        </w:tc>
      </w:tr>
      <w:tr>
        <w:tc>
          <w:tcPr>
            <w:tcW w:type="dxa" w:w="4675"/>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c>
          <w:tcPr>
            <w:tcW w:type="dxa" w:w="4675"/>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bl>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3. Activity Bank (10 Exercises)</w:t>
      </w:r>
    </w:p>
    <w:p>
      <w:pPr>
        <w:spacing w:after="140" w:before="0"/>
      </w:pPr>
      <w:r>
        <w:rPr>
          <w:rFonts w:ascii="Arial" w:cs="Arial" w:eastAsia="Arial" w:hAnsi="Arial"/>
          <w:b w:val="false"/>
          <w:bCs w:val="false"/>
          <w:i w:val="false"/>
          <w:iCs w:val="false"/>
          <w:color w:val="1A1A1A"/>
          <w:sz w:val="18"/>
          <w:szCs w:val="18"/>
        </w:rPr>
        <w:t xml:space="preserve">Ten ready-to-use activities covering the workshop lifecycle — opening, ideation, prioritization, deeper discussion, and closing. Mix and match into your agenda rather than using all ten in one session.</w:t>
      </w:r>
    </w:p>
    <w:p>
      <w:pPr>
        <w:spacing w:after="80" w:before="240"/>
      </w:pPr>
      <w:r>
        <w:rPr>
          <w:rFonts w:ascii="Arial" w:cs="Arial" w:eastAsia="Arial" w:hAnsi="Arial"/>
          <w:b/>
          <w:bCs/>
          <w:color w:val="1A3C5E"/>
          <w:sz w:val="20"/>
          <w:szCs w:val="20"/>
        </w:rPr>
        <w:t xml:space="preserve">1. Two Truths and a Goal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10-15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Whole group</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None</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Icebreaker that also surfaces what participants want from the session</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Each participant shares two true statements about themselves and one goal they have for the workshop. The group guesses which statement is the goal (it's always true, but framed like the others). Facilitator notes down goals for reference when checking objectives at the end.</w:t>
      </w:r>
    </w:p>
    <w:p>
      <w:pPr>
        <w:spacing w:after="80" w:before="240"/>
      </w:pPr>
      <w:r>
        <w:rPr>
          <w:rFonts w:ascii="Arial" w:cs="Arial" w:eastAsia="Arial" w:hAnsi="Arial"/>
          <w:b/>
          <w:bCs/>
          <w:color w:val="1A3C5E"/>
          <w:sz w:val="20"/>
          <w:szCs w:val="20"/>
        </w:rPr>
        <w:t xml:space="preserve">2. Silent Brainstorm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10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Individual, then pairs</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Sticky notes, pens</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Generate ideas without groupthink or the loudest voice dominating</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Pose a question. Everyone writes as many ideas as possible individually and silently for 5 minutes, one idea per sticky note. Pair up and each person explains their top 3 ideas to their partner before opening to the whole group.</w:t>
      </w:r>
    </w:p>
    <w:p>
      <w:pPr>
        <w:spacing w:after="80" w:before="240"/>
      </w:pPr>
      <w:r>
        <w:rPr>
          <w:rFonts w:ascii="Arial" w:cs="Arial" w:eastAsia="Arial" w:hAnsi="Arial"/>
          <w:b/>
          <w:bCs/>
          <w:color w:val="1A3C5E"/>
          <w:sz w:val="20"/>
          <w:szCs w:val="20"/>
        </w:rPr>
        <w:t xml:space="preserve">3. Dot Voting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10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Whole group</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Sticky dots or markers, the option list on a wall/whiteboard</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Prioritize a long list of options quickly and visibly</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Display all options. Give each participant a fixed number of dots (typically 3-5). They place dots next to the options they think matter most, distributing across options or stacking on one — their choice. Tally and discuss the top results.</w:t>
      </w:r>
    </w:p>
    <w:p>
      <w:pPr>
        <w:spacing w:after="80" w:before="240"/>
      </w:pPr>
      <w:r>
        <w:rPr>
          <w:rFonts w:ascii="Arial" w:cs="Arial" w:eastAsia="Arial" w:hAnsi="Arial"/>
          <w:b/>
          <w:bCs/>
          <w:color w:val="1A3C5E"/>
          <w:sz w:val="20"/>
          <w:szCs w:val="20"/>
        </w:rPr>
        <w:t xml:space="preserve">4. World Café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40-60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Small groups (4-6), rotating</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One flip chart per table, one topic per table</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Get deep, varied input from a larger group on several topics</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Assign one topic per table. Small groups discuss for 15 minutes, then rotate to a new table (one person stays as “table host” to brief the new group). Repeat for 2-3 rounds so ideas build across groups. Close with a whole-group synthesis of themes.</w:t>
      </w:r>
    </w:p>
    <w:p>
      <w:pPr>
        <w:spacing w:after="80" w:before="240"/>
      </w:pPr>
      <w:r>
        <w:rPr>
          <w:rFonts w:ascii="Arial" w:cs="Arial" w:eastAsia="Arial" w:hAnsi="Arial"/>
          <w:b/>
          <w:bCs/>
          <w:color w:val="1A3C5E"/>
          <w:sz w:val="20"/>
          <w:szCs w:val="20"/>
        </w:rPr>
        <w:t xml:space="preserve">5. Pre-Mortem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20-25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Small groups (3-5)</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Flip chart or shared document per group</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Surface risks to a plan before it starts, while it's still cheap to fix</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Ask: “Imagine it's 6 months from now and this has failed completely. What went wrong?” Groups brainstorm failure causes for 10 minutes, then identify which are most likely and what could be done now to prevent them. Report back to the whole group.</w:t>
      </w:r>
    </w:p>
    <w:p>
      <w:r>
        <w:br w:type="page"/>
      </w:r>
    </w:p>
    <w:p>
      <w:pPr>
        <w:spacing w:after="80" w:before="240"/>
      </w:pPr>
      <w:r>
        <w:rPr>
          <w:rFonts w:ascii="Arial" w:cs="Arial" w:eastAsia="Arial" w:hAnsi="Arial"/>
          <w:b/>
          <w:bCs/>
          <w:color w:val="1A3C5E"/>
          <w:sz w:val="20"/>
          <w:szCs w:val="20"/>
        </w:rPr>
        <w:t xml:space="preserve">6. Fishbowl Discussion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20-30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Whole group</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Inner circle of 4-5 chairs, outer circle for observers</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Have a focused discussion among a subset while the rest of the group listens and can join in</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4-5 people sit in an inner circle and discuss the topic; everyone else observes silently from an outer circle. Leave one inner-circle chair empty — any observer can sit in it to join the discussion, and someone from the inner circle must then leave. Facilitator closes by summarizing key points raised.</w:t>
      </w:r>
    </w:p>
    <w:p>
      <w:pPr>
        <w:spacing w:after="80" w:before="240"/>
      </w:pPr>
      <w:r>
        <w:rPr>
          <w:rFonts w:ascii="Arial" w:cs="Arial" w:eastAsia="Arial" w:hAnsi="Arial"/>
          <w:b/>
          <w:bCs/>
          <w:color w:val="1A3C5E"/>
          <w:sz w:val="20"/>
          <w:szCs w:val="20"/>
        </w:rPr>
        <w:t xml:space="preserve">7. Affinity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20-30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Small groups or whole group</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Sticky notes from a prior brainstorm, wall space</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Cluster a large set of raw ideas into meaningful themes</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Working silently, participants move sticky notes on the wall to group similar ideas together, without discussion at first. Once natural clusters emerge, the group names each cluster collaboratively. Discuss which clusters have the most notes and what that suggests about priority.</w:t>
      </w:r>
    </w:p>
    <w:p>
      <w:pPr>
        <w:spacing w:after="80" w:before="240"/>
      </w:pPr>
      <w:r>
        <w:rPr>
          <w:rFonts w:ascii="Arial" w:cs="Arial" w:eastAsia="Arial" w:hAnsi="Arial"/>
          <w:b/>
          <w:bCs/>
          <w:color w:val="1A3C5E"/>
          <w:sz w:val="20"/>
          <w:szCs w:val="20"/>
        </w:rPr>
        <w:t xml:space="preserve">8. Role Reversal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20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Pairs or small groups</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Brief role description cards (optional)</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Build empathy for a different stakeholder's perspective on a shared problem</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Assign each participant or group a stakeholder perspective different from their own real role (e.g. an engineer argues from the customer's viewpoint). Groups discuss the issue in character for 10 minutes, then debrief as themselves: what did you notice that you'd missed before?</w:t>
      </w:r>
    </w:p>
    <w:p>
      <w:pPr>
        <w:spacing w:after="80" w:before="240"/>
      </w:pPr>
      <w:r>
        <w:rPr>
          <w:rFonts w:ascii="Arial" w:cs="Arial" w:eastAsia="Arial" w:hAnsi="Arial"/>
          <w:b/>
          <w:bCs/>
          <w:color w:val="1A3C5E"/>
          <w:sz w:val="20"/>
          <w:szCs w:val="20"/>
        </w:rPr>
        <w:t xml:space="preserve">9. 1-2-4-All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15-20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Individual → pairs → quads → whole group</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Paper or notes app for individual reflection</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Get genuine input from every participant, not just confident speakers, on a substantial question</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Pose a question. 1 minute silent individual reflection. 2 minutes in pairs sharing and building on each other's thinking. 4 minutes in groups of four, converging on the best 1-2 ideas. Whole group shares out the strongest ideas from each quad.</w:t>
      </w:r>
    </w:p>
    <w:p>
      <w:pPr>
        <w:spacing w:after="80" w:before="240"/>
      </w:pPr>
      <w:r>
        <w:rPr>
          <w:rFonts w:ascii="Arial" w:cs="Arial" w:eastAsia="Arial" w:hAnsi="Arial"/>
          <w:b/>
          <w:bCs/>
          <w:color w:val="1A3C5E"/>
          <w:sz w:val="20"/>
          <w:szCs w:val="20"/>
        </w:rPr>
        <w:t xml:space="preserve">10. Plus/Delta Reflection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50"/>
        <w:gridCol w:w="4000"/>
      </w:tblGrid>
      <w:tr>
        <w:tc>
          <w:tcPr>
            <w:tcW w:type="dxa" w:w="16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Time</w:t>
            </w:r>
          </w:p>
        </w:tc>
        <w:tc>
          <w:tcPr>
            <w:tcW w:type="dxa" w:w="21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Group Size</w:t>
            </w:r>
          </w:p>
        </w:tc>
        <w:tc>
          <w:tcPr>
            <w:tcW w:type="dxa" w:w="165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Materials</w:t>
            </w:r>
          </w:p>
        </w:tc>
        <w:tc>
          <w:tcPr>
            <w:tcW w:type="dxa" w:w="4000"/>
            <w:tcBorders>
              <w:top w:val="single" w:color="D9D9D9" w:sz="2"/>
              <w:left w:val="single" w:color="D9D9D9" w:sz="2"/>
              <w:bottom w:val="single" w:color="D9D9D9" w:sz="2"/>
              <w:right w:val="single" w:color="D9D9D9" w:sz="2"/>
            </w:tcBorders>
            <w:shd w:fill="5B7C9A" w:val="clear"/>
            <w:tcMar>
              <w:top w:type="dxa" w:w="90"/>
              <w:left w:type="dxa" w:w="110"/>
              <w:bottom w:type="dxa" w:w="90"/>
              <w:right w:type="dxa" w:w="110"/>
            </w:tcMar>
            <w:vAlign w:val="center"/>
          </w:tcPr>
          <w:p>
            <w:r>
              <w:rPr>
                <w:rFonts w:ascii="Arial" w:cs="Arial" w:eastAsia="Arial" w:hAnsi="Arial"/>
                <w:b/>
                <w:bCs/>
                <w:color w:val="FFFFFF"/>
                <w:sz w:val="16"/>
                <w:szCs w:val="16"/>
              </w:rPr>
              <w:t xml:space="preserve">Purpose</w:t>
            </w:r>
          </w:p>
        </w:tc>
      </w:tr>
      <w:tr>
        <w:tc>
          <w:tcPr>
            <w:tcW w:type="dxa" w:w="16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10 min</w:t>
            </w:r>
          </w:p>
        </w:tc>
        <w:tc>
          <w:tcPr>
            <w:tcW w:type="dxa" w:w="21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Whole group or individual then shared</w:t>
            </w:r>
          </w:p>
        </w:tc>
        <w:tc>
          <w:tcPr>
            <w:tcW w:type="dxa" w:w="16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Flip chart divided into “Plus” and “Delta” columns, or the Evaluation Form</w:t>
            </w:r>
          </w:p>
        </w:tc>
        <w:tc>
          <w:tcPr>
            <w:tcW w:type="dxa" w:w="400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Close the workshop with structured, actionable feedback</w:t>
            </w:r>
          </w:p>
        </w:tc>
      </w:tr>
    </w:tbl>
    <w:p>
      <w:pPr>
        <w:spacing w:after="60" w:before="100"/>
      </w:pPr>
      <w:r>
        <w:rPr>
          <w:rFonts w:ascii="Arial" w:cs="Arial" w:eastAsia="Arial" w:hAnsi="Arial"/>
          <w:b/>
          <w:bCs/>
          <w:color w:val="404040"/>
          <w:sz w:val="18"/>
          <w:szCs w:val="18"/>
        </w:rPr>
        <w:t xml:space="preserve">How it works: </w:t>
      </w:r>
      <w:r>
        <w:rPr>
          <w:rFonts w:ascii="Arial" w:cs="Arial" w:eastAsia="Arial" w:hAnsi="Arial"/>
          <w:color w:val="1A1A1A"/>
          <w:sz w:val="18"/>
          <w:szCs w:val="18"/>
        </w:rPr>
        <w:t xml:space="preserve">Ask participants to name what worked well (“Plus”) and what they'd change next time (“Delta”). Capture responses visibly. This pairs naturally with the Evaluation Form for a more detailed, private version of the same reflection.</w:t>
      </w:r>
    </w:p>
    <w:p>
      <w:r>
        <w:br w:type="page"/>
      </w:r>
    </w:p>
    <w:p>
      <w:pPr>
        <w:pStyle w:val="Heading1"/>
        <w:pBdr>
          <w:bottom w:val="single" w:color="1A3C5E" w:sz="6" w:space="4"/>
        </w:pBdr>
        <w:spacing w:after="140" w:before="0"/>
      </w:pPr>
      <w:r>
        <w:rPr>
          <w:rFonts w:ascii="Arial" w:cs="Arial" w:eastAsia="Arial" w:hAnsi="Arial"/>
          <w:b/>
          <w:bCs/>
          <w:color w:val="1A3C5E"/>
          <w:sz w:val="24"/>
          <w:szCs w:val="24"/>
        </w:rPr>
        <w:t xml:space="preserve">4. Evaluation Form Template</w:t>
      </w:r>
    </w:p>
    <w:p>
      <w:pPr>
        <w:spacing w:after="140" w:before="0"/>
      </w:pPr>
      <w:r>
        <w:rPr>
          <w:rFonts w:ascii="Arial" w:cs="Arial" w:eastAsia="Arial" w:hAnsi="Arial"/>
          <w:b w:val="false"/>
          <w:bCs w:val="false"/>
          <w:i w:val="false"/>
          <w:iCs w:val="false"/>
          <w:color w:val="1A1A1A"/>
          <w:sz w:val="18"/>
          <w:szCs w:val="18"/>
        </w:rPr>
        <w:t xml:space="preserve">Distribute in the last 10 minutes while the workshop is still fresh — evaluations collected days later get a fraction of the response rate and much vaguer answers.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Workshop Title:</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
            </w:r>
          </w:p>
        </w:tc>
      </w:tr>
    </w:tbl>
    <w:p>
      <w:pPr>
        <w:spacing w:before="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tcBorders>
              <w:top w:val="none"/>
              <w:left w:val="none"/>
              <w:bottom w:val="none"/>
              <w:right w:val="none"/>
            </w:tcBorders>
            <w:tcMar>
              <w:top w:type="dxa" w:w="60"/>
              <w:left w:type="dxa" w:w="0"/>
              <w:bottom w:type="dxa" w:w="60"/>
              <w:right w:type="dxa" w:w="0"/>
            </w:tcMar>
          </w:tcPr>
          <w:p>
            <w:r>
              <w:rPr>
                <w:rFonts w:ascii="Arial" w:cs="Arial" w:eastAsia="Arial" w:hAnsi="Arial"/>
                <w:b/>
                <w:bCs/>
                <w:color w:val="404040"/>
                <w:sz w:val="18"/>
                <w:szCs w:val="18"/>
              </w:rPr>
              <w:t xml:space="preserve">Date:</w:t>
            </w:r>
          </w:p>
        </w:tc>
        <w:tc>
          <w:tcPr>
            <w:tcW w:type="dxa" w:w="6750"/>
            <w:tcBorders>
              <w:top w:val="single" w:color="D9D9D9" w:sz="2"/>
              <w:left w:val="single" w:color="D9D9D9" w:sz="2"/>
              <w:bottom w:val="single" w:color="D9D9D9" w:sz="2"/>
              <w:right w:val="single" w:color="D9D9D9" w:sz="2"/>
            </w:tcBorders>
            <w:shd w:fill="F2F2F2" w:val="clear"/>
            <w:tcMar>
              <w:top w:type="dxa" w:w="60"/>
              <w:left w:type="dxa" w:w="120"/>
              <w:bottom w:type="dxa" w:w="60"/>
              <w:right w:type="dxa" w:w="0"/>
            </w:tcMar>
          </w:tcPr>
          <w:p>
            <w:r>
              <w:rPr>
                <w:rFonts w:ascii="Arial" w:cs="Arial" w:eastAsia="Arial" w:hAnsi="Arial"/>
                <w:i/>
                <w:iCs/>
                <w:color w:val="808080"/>
                <w:sz w:val="18"/>
                <w:szCs w:val="18"/>
              </w:rPr>
              <w:t xml:space="preserve"/>
            </w:r>
          </w:p>
        </w:tc>
      </w:tr>
    </w:tbl>
    <w:p>
      <w:pPr>
        <w:spacing w:before="200"/>
      </w:pPr>
    </w:p>
    <w:p>
      <w:pPr>
        <w:spacing w:after="100" w:before="0"/>
      </w:pPr>
      <w:r>
        <w:rPr>
          <w:rFonts w:ascii="Arial" w:cs="Arial" w:eastAsia="Arial" w:hAnsi="Arial"/>
          <w:b/>
          <w:bCs/>
          <w:i w:val="false"/>
          <w:iCs w:val="false"/>
          <w:color w:val="1A1A1A"/>
          <w:sz w:val="18"/>
          <w:szCs w:val="18"/>
        </w:rPr>
        <w:t xml:space="preserve">Rate each statement from 1 (Strongly Disagree) to 5 (Strongly Agree)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Statement</w:t>
            </w:r>
          </w:p>
        </w:tc>
        <w:tc>
          <w:tcPr>
            <w:tcW w:type="dxa" w:w="3000"/>
            <w:tcBorders>
              <w:top w:val="single" w:color="D9D9D9" w:sz="2"/>
              <w:left w:val="single" w:color="D9D9D9" w:sz="2"/>
              <w:bottom w:val="single" w:color="D9D9D9" w:sz="2"/>
              <w:right w:val="single" w:color="D9D9D9" w:sz="2"/>
            </w:tcBorders>
            <w:shd w:fill="1A3C5E" w:val="clear"/>
            <w:tcMar>
              <w:top w:type="dxa" w:w="90"/>
              <w:left w:type="dxa" w:w="110"/>
              <w:bottom w:type="dxa" w:w="90"/>
              <w:right w:type="dxa" w:w="110"/>
            </w:tcMar>
            <w:vAlign w:val="center"/>
          </w:tcPr>
          <w:p>
            <w:r>
              <w:rPr>
                <w:rFonts w:ascii="Arial" w:cs="Arial" w:eastAsia="Arial" w:hAnsi="Arial"/>
                <w:b/>
                <w:bCs/>
                <w:color w:val="FFFFFF"/>
                <w:sz w:val="16"/>
                <w:szCs w:val="16"/>
              </w:rPr>
              <w:t xml:space="preserve">Rating (1-5)</w:t>
            </w:r>
          </w:p>
        </w:tc>
      </w:tr>
      <w:tr>
        <w:tc>
          <w:tcPr>
            <w:tcW w:type="dxa" w:w="63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This workshop achieved its stated objectives</w:t>
            </w:r>
          </w:p>
        </w:tc>
        <w:tc>
          <w:tcPr>
            <w:tcW w:type="dxa" w:w="30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63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The facilitator kept the session on track and on time</w:t>
            </w:r>
          </w:p>
        </w:tc>
        <w:tc>
          <w:tcPr>
            <w:tcW w:type="dxa" w:w="30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63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The activities were relevant to my actual work</w:t>
            </w:r>
          </w:p>
        </w:tc>
        <w:tc>
          <w:tcPr>
            <w:tcW w:type="dxa" w:w="30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63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I am likely to apply something from this workshop in the next month</w:t>
            </w:r>
          </w:p>
        </w:tc>
        <w:tc>
          <w:tcPr>
            <w:tcW w:type="dxa" w:w="30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6350"/>
            <w:tcBorders>
              <w:top w:val="single" w:color="D9D9D9" w:sz="2"/>
              <w:left w:val="single" w:color="D9D9D9" w:sz="2"/>
              <w:bottom w:val="single" w:color="D9D9D9" w:sz="2"/>
              <w:right w:val="single" w:color="D9D9D9" w:sz="2"/>
            </w:tcBorders>
            <w:shd w:fill="FFFFFF"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The pace and length of the workshop were appropriate</w:t>
            </w:r>
          </w:p>
        </w:tc>
        <w:tc>
          <w:tcPr>
            <w:tcW w:type="dxa" w:w="300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bl>
    <w:p>
      <w:pPr>
        <w:spacing w:after="60" w:before="220"/>
      </w:pPr>
      <w:r>
        <w:rPr>
          <w:rFonts w:ascii="Arial" w:cs="Arial" w:eastAsia="Arial" w:hAnsi="Arial"/>
          <w:b/>
          <w:bCs/>
          <w:i w:val="false"/>
          <w:iCs w:val="false"/>
          <w:color w:val="1A1A1A"/>
          <w:sz w:val="18"/>
          <w:szCs w:val="18"/>
        </w:rPr>
        <w:t xml:space="preserve">What was most valuable about this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935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bl>
    <w:p>
      <w:pPr>
        <w:spacing w:after="60" w:before="220"/>
      </w:pPr>
      <w:r>
        <w:rPr>
          <w:rFonts w:ascii="Arial" w:cs="Arial" w:eastAsia="Arial" w:hAnsi="Arial"/>
          <w:b/>
          <w:bCs/>
          <w:i w:val="false"/>
          <w:iCs w:val="false"/>
          <w:color w:val="1A1A1A"/>
          <w:sz w:val="18"/>
          <w:szCs w:val="18"/>
        </w:rPr>
        <w:t xml:space="preserve">What would you change next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r>
        <w:tc>
          <w:tcPr>
            <w:tcW w:type="dxa" w:w="9350"/>
            <w:tcBorders>
              <w:top w:val="single" w:color="D9D9D9" w:sz="2"/>
              <w:left w:val="single" w:color="D9D9D9" w:sz="2"/>
              <w:bottom w:val="single" w:color="D9D9D9" w:sz="2"/>
              <w:right w:val="single" w:color="D9D9D9" w:sz="2"/>
            </w:tcBorders>
            <w:shd w:fill="F2F2F2" w:val="clear"/>
            <w:tcMar>
              <w:top w:type="dxa" w:w="120"/>
              <w:left w:type="dxa" w:w="110"/>
              <w:bottom w:type="dxa" w:w="120"/>
              <w:right w:type="dxa" w:w="110"/>
            </w:tcMar>
            <w:vAlign w:val="center"/>
          </w:tcPr>
          <w:p>
            <w:r>
              <w:rPr>
                <w:rFonts w:ascii="Arial" w:cs="Arial" w:eastAsia="Arial" w:hAnsi="Arial"/>
                <w:i w:val="false"/>
                <w:iCs w:val="false"/>
                <w:color w:val="000000"/>
                <w:sz w:val="16"/>
                <w:szCs w:val="16"/>
              </w:rPr>
              <w:t xml:space="preserve"/>
            </w:r>
          </w:p>
        </w:tc>
      </w:tr>
    </w:tbl>
    <w:p>
      <w:pPr>
        <w:spacing w:before="320"/>
      </w:pPr>
      <w:r>
        <w:rPr>
          <w:rFonts w:ascii="Arial" w:cs="Arial" w:eastAsia="Arial" w:hAnsi="Arial"/>
          <w:i/>
          <w:iCs/>
          <w:color w:val="808080"/>
          <w:sz w:val="16"/>
          <w:szCs w:val="16"/>
        </w:rPr>
        <w:t xml:space="preserve">Rows and fields shown in italics are examples — delete them before use. Add rows as needed by copying an existing table row.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2026-09-09T08:24:26.157Z</dcterms:created>
  <dcterms:modified xsi:type="dcterms:W3CDTF">2026-09-09T08:24:26.158Z</dcterms:modified>
</cp:coreProperties>
</file>

<file path=docProps/custom.xml><?xml version="1.0" encoding="utf-8"?>
<Properties xmlns="http://schemas.openxmlformats.org/officeDocument/2006/custom-properties" xmlns:vt="http://schemas.openxmlformats.org/officeDocument/2006/docPropsVTypes"/>
</file>