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rFonts w:ascii="Cambria" w:hAnsi="Cambria" w:eastAsia="Times New Roman" w:cs="Times New Roman"/>
          <w:b/>
          <w:bCs/>
          <w:sz w:val="20"/>
          <w:szCs w:val="20"/>
        </w:rPr>
      </w:pPr>
      <w:r>
        <w:rPr>
          <w:rFonts w:ascii="Cambria" w:hAnsi="Cambria" w:eastAsia="Times New Roman" w:cs="Times New Roman"/>
          <w:b/>
          <w:bCs/>
          <w:sz w:val="20"/>
          <w:szCs w:val="20"/>
        </w:rPr>
        <w:t xml:space="preserve">REVIEW OF THE ASSESSMENT FOR ALL INITIATIVE (a4a) STATISTICAL CATCH-AT-AGE FRAMEWORK FOR THE ICCAT SOFTWARE CATALOGUE</w:t>
      </w:r>
      <w:r>
        <w:rPr>
          <w:rFonts w:ascii="Cambria" w:hAnsi="Cambria" w:eastAsia="Times New Roman" w:cs="Times New Roman"/>
          <w:b/>
          <w:bCs/>
          <w:sz w:val="20"/>
          <w:szCs w:val="20"/>
        </w:rPr>
      </w:r>
    </w:p>
    <w:p>
      <w:pPr>
        <w:pBdr/>
        <w:spacing w:after="0"/>
        <w:ind/>
        <w:jc w:val="center"/>
        <w:rPr>
          <w:rFonts w:ascii="Cambria" w:hAnsi="Cambria" w:cs="Times New Roman"/>
          <w:sz w:val="20"/>
          <w:szCs w:val="20"/>
        </w:rPr>
      </w:pPr>
      <w:r>
        <w:rPr>
          <w:rFonts w:ascii="Cambria" w:hAnsi="Cambria" w:cs="Times New Roman"/>
          <w:sz w:val="20"/>
          <w:szCs w:val="20"/>
        </w:rPr>
      </w:r>
      <w:r>
        <w:rPr>
          <w:rFonts w:ascii="Cambria" w:hAnsi="Cambria" w:cs="Times New Roman"/>
          <w:sz w:val="20"/>
          <w:szCs w:val="20"/>
        </w:rPr>
      </w:r>
    </w:p>
    <w:p>
      <w:pPr>
        <w:pBdr/>
        <w:spacing w:after="0"/>
        <w:ind/>
        <w:jc w:val="center"/>
        <w:rPr>
          <w:rFonts w:ascii="Cambria" w:hAnsi="Cambria" w:eastAsia="Times New Roman" w:cs="Times New Roman"/>
          <w:sz w:val="20"/>
          <w:szCs w:val="20"/>
          <w:lang w:val="pt-BR"/>
        </w:rPr>
      </w:pPr>
      <w:r>
        <w:rPr>
          <w:rFonts w:ascii="Cambria" w:hAnsi="Cambria" w:eastAsia="Times New Roman" w:cs="Times New Roman"/>
          <w:sz w:val="20"/>
          <w:szCs w:val="20"/>
          <w:lang w:val="pt-BR"/>
        </w:rPr>
        <w:t xml:space="preserve">E. Jardim</w:t>
      </w:r>
      <w:r>
        <w:rPr>
          <w:rStyle w:val="935"/>
          <w:rFonts w:ascii="Cambria" w:hAnsi="Cambria" w:eastAsia="Times New Roman" w:cs="Times New Roman"/>
          <w:sz w:val="20"/>
          <w:szCs w:val="20"/>
          <w:lang w:val="pt-BR"/>
        </w:rPr>
        <w:footnoteReference w:id="2"/>
      </w:r>
      <w:r>
        <w:rPr>
          <w:rFonts w:ascii="Cambria" w:hAnsi="Cambria" w:eastAsia="Times New Roman" w:cs="Times New Roman"/>
          <w:sz w:val="20"/>
          <w:szCs w:val="20"/>
          <w:lang w:val="pt-BR"/>
        </w:rPr>
        <w:t xml:space="preserve">, D. Mantopoulou Palouka</w:t>
      </w:r>
      <w:r>
        <w:rPr>
          <w:rStyle w:val="935"/>
          <w:rFonts w:ascii="Cambria" w:hAnsi="Cambria" w:eastAsia="Times New Roman" w:cs="Times New Roman"/>
          <w:sz w:val="20"/>
          <w:szCs w:val="20"/>
          <w:lang w:val="pt-BR"/>
        </w:rPr>
        <w:footnoteReference w:id="3"/>
      </w:r>
      <w:r>
        <w:rPr>
          <w:rFonts w:ascii="Cambria" w:hAnsi="Cambria" w:eastAsia="Times New Roman" w:cs="Times New Roman"/>
          <w:sz w:val="20"/>
          <w:szCs w:val="20"/>
          <w:lang w:val="pt-BR"/>
        </w:rPr>
        <w:t xml:space="preserve">, G. Tserpes</w:t>
      </w:r>
      <w:r>
        <w:rPr>
          <w:rStyle w:val="935"/>
          <w:rFonts w:ascii="Cambria" w:hAnsi="Cambria" w:eastAsia="Times New Roman" w:cs="Times New Roman"/>
          <w:sz w:val="20"/>
          <w:szCs w:val="20"/>
          <w:lang w:val="pt-BR"/>
        </w:rPr>
        <w:footnoteReference w:id="4"/>
      </w:r>
      <w:r>
        <w:rPr>
          <w:rFonts w:ascii="Cambria" w:hAnsi="Cambria" w:eastAsia="Times New Roman" w:cs="Times New Roman"/>
          <w:sz w:val="20"/>
          <w:szCs w:val="20"/>
          <w:lang w:val="pt-BR"/>
        </w:rPr>
        <w:t xml:space="preserve">,</w:t>
      </w:r>
      <w:r>
        <w:rPr>
          <w:rFonts w:ascii="Cambria" w:hAnsi="Cambria" w:eastAsia="Times New Roman" w:cs="Times New Roman"/>
          <w:sz w:val="20"/>
          <w:szCs w:val="20"/>
          <w:lang w:val="pt-BR"/>
        </w:rPr>
        <w:t xml:space="preserve"> and A. Kimoto</w:t>
      </w:r>
      <w:r>
        <w:rPr>
          <w:rStyle w:val="935"/>
          <w:rFonts w:ascii="Cambria" w:hAnsi="Cambria" w:eastAsia="Times New Roman" w:cs="Times New Roman"/>
          <w:sz w:val="20"/>
          <w:szCs w:val="20"/>
          <w:lang w:val="pt-BR"/>
        </w:rPr>
        <w:footnoteReference w:id="5"/>
      </w:r>
      <w:r>
        <w:rPr>
          <w:rFonts w:ascii="Cambria" w:hAnsi="Cambria" w:eastAsia="Times New Roman" w:cs="Times New Roman"/>
          <w:sz w:val="20"/>
          <w:szCs w:val="20"/>
          <w:lang w:val="pt-BR"/>
        </w:rPr>
      </w:r>
    </w:p>
    <w:p>
      <w:pPr>
        <w:pBdr/>
        <w:spacing w:after="0"/>
        <w:ind/>
        <w:jc w:val="center"/>
        <w:rPr>
          <w:rFonts w:ascii="Cambria" w:hAnsi="Cambria" w:cs="Times New Roman"/>
          <w:sz w:val="20"/>
          <w:szCs w:val="20"/>
          <w:lang w:val="pt-BR"/>
        </w:rPr>
      </w:pPr>
      <w:r>
        <w:rPr>
          <w:rFonts w:ascii="Cambria" w:hAnsi="Cambria" w:cs="Times New Roman"/>
          <w:sz w:val="20"/>
          <w:szCs w:val="20"/>
          <w:lang w:val="pt-BR"/>
        </w:rPr>
      </w:r>
      <w:r>
        <w:rPr>
          <w:rFonts w:ascii="Cambria" w:hAnsi="Cambria" w:cs="Times New Roman"/>
          <w:sz w:val="20"/>
          <w:szCs w:val="20"/>
          <w:lang w:val="pt-BR"/>
        </w:rPr>
      </w:r>
    </w:p>
    <w:p>
      <w:pPr>
        <w:pBdr/>
        <w:spacing w:after="0"/>
        <w:ind/>
        <w:jc w:val="center"/>
        <w:rPr>
          <w:rFonts w:ascii="Cambria" w:hAnsi="Cambria" w:cs="Times New Roman"/>
          <w:sz w:val="20"/>
          <w:szCs w:val="20"/>
          <w:lang w:val="pt-BR"/>
        </w:rPr>
      </w:pPr>
      <w:r>
        <w:rPr>
          <w:rFonts w:ascii="Cambria" w:hAnsi="Cambria" w:cs="Times New Roman"/>
          <w:sz w:val="20"/>
          <w:szCs w:val="20"/>
          <w:lang w:val="pt-BR"/>
        </w:rPr>
      </w:r>
      <w:r>
        <w:rPr>
          <w:rFonts w:ascii="Cambria" w:hAnsi="Cambria" w:cs="Times New Roman"/>
          <w:sz w:val="20"/>
          <w:szCs w:val="20"/>
          <w:lang w:val="pt-BR"/>
        </w:rPr>
      </w:r>
    </w:p>
    <w:p>
      <w:pPr>
        <w:pBdr/>
        <w:spacing w:after="0"/>
        <w:ind/>
        <w:jc w:val="center"/>
        <w:rPr>
          <w:rFonts w:ascii="Cambria" w:hAnsi="Cambria" w:eastAsia="Times New Roman" w:cs="Times New Roman"/>
          <w:i/>
          <w:iCs/>
          <w:sz w:val="20"/>
          <w:szCs w:val="20"/>
        </w:rPr>
      </w:pPr>
      <w:r>
        <w:rPr>
          <w:rFonts w:ascii="Cambria" w:hAnsi="Cambria" w:eastAsia="Times New Roman" w:cs="Times New Roman"/>
          <w:i/>
          <w:iCs/>
          <w:sz w:val="20"/>
          <w:szCs w:val="20"/>
        </w:rPr>
        <w:t xml:space="preserve">SUMMARY</w:t>
      </w:r>
      <w:r>
        <w:rPr>
          <w:rFonts w:ascii="Cambria" w:hAnsi="Cambria" w:eastAsia="Times New Roman" w:cs="Times New Roman"/>
          <w:i/>
          <w:iCs/>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right="677" w:left="677"/>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Initiative (a4a) is a statistical catch-at-age (SCA) stock assessment framework originally developed by the European Commission Joint Research Centre (JRC) to simplify, standardize, and</w:t>
      </w:r>
      <w:r>
        <w:rPr>
          <w:rFonts w:ascii="Cambria" w:hAnsi="Cambria"/>
          <w:sz w:val="20"/>
          <w:szCs w:val="20"/>
        </w:rPr>
        <w:t xml:space="preserve"> </w:t>
      </w:r>
      <w:r>
        <w:rPr>
          <w:rFonts w:ascii="Cambria" w:hAnsi="Cambria" w:eastAsia="Times New Roman" w:cs="Times New Roman"/>
          <w:sz w:val="20"/>
          <w:szCs w:val="20"/>
        </w:rPr>
        <w:t xml:space="preserve">scale up fish stock assessment. The framework is built on the Fisheries Library for R (FLR) and uses</w:t>
      </w:r>
      <w:r>
        <w:rPr>
          <w:rFonts w:ascii="Cambria" w:hAnsi="Cambria"/>
          <w:sz w:val="20"/>
          <w:szCs w:val="20"/>
        </w:rPr>
        <w:t xml:space="preserve"> </w:t>
      </w:r>
      <w:r>
        <w:rPr>
          <w:rFonts w:ascii="Cambria" w:hAnsi="Cambria" w:eastAsia="Times New Roman" w:cs="Times New Roman"/>
          <w:sz w:val="20"/>
          <w:szCs w:val="20"/>
        </w:rPr>
        <w:t xml:space="preserve">an age-structured population dynamics model with a flexible, submodel-based formulation that allows the</w:t>
      </w:r>
      <w:r>
        <w:rPr>
          <w:rFonts w:ascii="Cambria" w:hAnsi="Cambria"/>
          <w:sz w:val="20"/>
          <w:szCs w:val="20"/>
        </w:rPr>
        <w:t xml:space="preserve"> </w:t>
      </w:r>
      <w:r>
        <w:rPr>
          <w:rFonts w:ascii="Cambria" w:hAnsi="Cambria" w:eastAsia="Times New Roman" w:cs="Times New Roman"/>
          <w:sz w:val="20"/>
          <w:szCs w:val="20"/>
        </w:rPr>
        <w:t xml:space="preserve">analyst to express fishing mortality, catchability, recruitment, variance, and initial population abundance</w:t>
      </w:r>
      <w:r>
        <w:rPr>
          <w:rFonts w:ascii="Cambria" w:hAnsi="Cambria"/>
          <w:sz w:val="20"/>
          <w:szCs w:val="20"/>
        </w:rPr>
        <w:t xml:space="preserve"> </w:t>
      </w:r>
      <w:r>
        <w:rPr>
          <w:rFonts w:ascii="Cambria" w:hAnsi="Cambria" w:eastAsia="Times New Roman" w:cs="Times New Roman"/>
          <w:sz w:val="20"/>
          <w:szCs w:val="20"/>
        </w:rPr>
        <w:t xml:space="preserve">as linear models using standard R formula syntax—including generalized additive models (GAMs) via the</w:t>
      </w:r>
      <w:r>
        <w:rPr>
          <w:rFonts w:ascii="Cambria" w:hAnsi="Cambria"/>
          <w:sz w:val="20"/>
          <w:szCs w:val="20"/>
        </w:rPr>
        <w:t xml:space="preserve"> </w:t>
      </w:r>
      <w:r>
        <w:rPr>
          <w:rFonts w:ascii="Cambria" w:hAnsi="Cambria" w:eastAsia="Times New Roman" w:cs="Times New Roman"/>
          <w:sz w:val="20"/>
          <w:szCs w:val="20"/>
        </w:rPr>
        <w:t xml:space="preserve">mgcv package. The model has been applied to more than 200 stock assessments in the Mediterranean Sea</w:t>
      </w:r>
      <w:r>
        <w:rPr>
          <w:rFonts w:ascii="Cambria" w:hAnsi="Cambria"/>
          <w:sz w:val="20"/>
          <w:szCs w:val="20"/>
        </w:rPr>
        <w:t xml:space="preserve"> </w:t>
      </w:r>
      <w:r>
        <w:rPr>
          <w:rFonts w:ascii="Cambria" w:hAnsi="Cambria" w:eastAsia="Times New Roman" w:cs="Times New Roman"/>
          <w:sz w:val="20"/>
          <w:szCs w:val="20"/>
        </w:rPr>
        <w:t xml:space="preserve">through the General Fisheries Commission for the Mediterranean (GFCM) and the Scientific, Technical and</w:t>
      </w:r>
      <w:r>
        <w:rPr>
          <w:rFonts w:ascii="Cambria" w:hAnsi="Cambria"/>
          <w:sz w:val="20"/>
          <w:szCs w:val="20"/>
        </w:rPr>
        <w:t xml:space="preserve"> </w:t>
      </w:r>
      <w:r>
        <w:rPr>
          <w:rFonts w:ascii="Cambria" w:hAnsi="Cambria" w:eastAsia="Times New Roman" w:cs="Times New Roman"/>
          <w:sz w:val="20"/>
          <w:szCs w:val="20"/>
        </w:rPr>
        <w:t xml:space="preserve">Economic Committee for Fisheries (STECF). It supports full uncertainty propagation through maximum</w:t>
      </w:r>
      <w:r>
        <w:rPr>
          <w:rFonts w:ascii="Cambria" w:hAnsi="Cambria"/>
          <w:sz w:val="20"/>
          <w:szCs w:val="20"/>
        </w:rPr>
        <w:t xml:space="preserve"> </w:t>
      </w:r>
      <w:r>
        <w:rPr>
          <w:rFonts w:ascii="Cambria" w:hAnsi="Cambria" w:eastAsia="Times New Roman" w:cs="Times New Roman"/>
          <w:sz w:val="20"/>
          <w:szCs w:val="20"/>
        </w:rPr>
        <w:t xml:space="preserve">likelihood estimation (MLE), MCMC, and simulation, as well as short-term projections and Management</w:t>
      </w:r>
      <w:r>
        <w:rPr>
          <w:rFonts w:ascii="Cambria" w:hAnsi="Cambria"/>
          <w:sz w:val="20"/>
          <w:szCs w:val="20"/>
        </w:rPr>
        <w:t xml:space="preserve"> </w:t>
      </w:r>
      <w:r>
        <w:rPr>
          <w:rFonts w:ascii="Cambria" w:hAnsi="Cambria" w:eastAsia="Times New Roman" w:cs="Times New Roman"/>
          <w:sz w:val="20"/>
          <w:szCs w:val="20"/>
        </w:rPr>
        <w:t xml:space="preserve">Strategy Evaluation (MSE) conditioning. The a4a R-package (FLa4a) and its comprehensive handbook are</w:t>
      </w:r>
      <w:r>
        <w:rPr>
          <w:rFonts w:ascii="Cambria" w:hAnsi="Cambria"/>
          <w:sz w:val="20"/>
          <w:szCs w:val="20"/>
        </w:rPr>
        <w:t xml:space="preserve"> </w:t>
      </w:r>
      <w:r>
        <w:rPr>
          <w:rFonts w:ascii="Cambria" w:hAnsi="Cambria" w:eastAsia="Times New Roman" w:cs="Times New Roman"/>
          <w:sz w:val="20"/>
          <w:szCs w:val="20"/>
        </w:rPr>
        <w:t xml:space="preserve">openly available via the FLR r-universe and GitHub repositories. The authors recommend ICCAT consider</w:t>
      </w:r>
      <w:r>
        <w:rPr>
          <w:rFonts w:ascii="Cambria" w:hAnsi="Cambria"/>
          <w:sz w:val="20"/>
          <w:szCs w:val="20"/>
        </w:rPr>
        <w:t xml:space="preserve"> </w:t>
      </w:r>
      <w:r>
        <w:rPr>
          <w:rFonts w:ascii="Cambria" w:hAnsi="Cambria" w:eastAsia="Times New Roman" w:cs="Times New Roman"/>
          <w:sz w:val="20"/>
          <w:szCs w:val="20"/>
        </w:rPr>
        <w:t xml:space="preserve">the registration of the a4a methodology in the ICCAT software catalogue.</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i/>
          <w:iCs/>
          <w:sz w:val="20"/>
          <w:szCs w:val="20"/>
        </w:rPr>
      </w:pPr>
      <w:r>
        <w:rPr>
          <w:rFonts w:ascii="Cambria" w:hAnsi="Cambria" w:eastAsia="Times New Roman" w:cs="Times New Roman"/>
          <w:i/>
          <w:iCs/>
          <w:sz w:val="20"/>
          <w:szCs w:val="20"/>
        </w:rPr>
        <w:t xml:space="preserve">KEYWORDS</w:t>
      </w:r>
      <w:r>
        <w:rPr>
          <w:rFonts w:ascii="Cambria" w:hAnsi="Cambria" w:eastAsia="Times New Roman" w:cs="Times New Roman"/>
          <w:i/>
          <w:iCs/>
          <w:sz w:val="20"/>
          <w:szCs w:val="20"/>
        </w:rPr>
      </w:r>
    </w:p>
    <w:p>
      <w:pPr>
        <w:pBdr/>
        <w:spacing w:after="0"/>
        <w:ind/>
        <w:jc w:val="center"/>
        <w:rPr>
          <w:rFonts w:ascii="Cambria" w:hAnsi="Cambria" w:eastAsia="Times New Roman" w:cs="Times New Roman"/>
          <w:bCs/>
          <w:i/>
          <w:sz w:val="20"/>
          <w:szCs w:val="20"/>
        </w:rPr>
      </w:pPr>
      <w:r>
        <w:rPr>
          <w:rFonts w:ascii="Cambria" w:hAnsi="Cambria" w:eastAsia="Times New Roman" w:cs="Times New Roman"/>
          <w:bCs/>
          <w:i/>
          <w:sz w:val="20"/>
          <w:szCs w:val="20"/>
        </w:rPr>
      </w:r>
      <w:r>
        <w:rPr>
          <w:rFonts w:ascii="Cambria" w:hAnsi="Cambria" w:eastAsia="Times New Roman" w:cs="Times New Roman"/>
          <w:bCs/>
          <w:i/>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t xml:space="preserve">ICCAT Software Catalogue, FLa4a, R-package, FLR, catch-at-age, stock assessment, MSE</w:t>
      </w:r>
      <w:r>
        <w:rPr>
          <w:rFonts w:ascii="Cambria" w:hAnsi="Cambria" w:eastAsia="Times New Roman" w:cs="Times New Roman"/>
          <w:sz w:val="20"/>
          <w:szCs w:val="20"/>
        </w:rPr>
      </w:r>
    </w:p>
    <w:p>
      <w:pPr>
        <w:pBdr/>
        <w:spacing w:after="0"/>
        <w:ind/>
        <w:rPr>
          <w:rFonts w:ascii="Cambria" w:hAnsi="Cambria" w:eastAsia="Times New Roman" w:cs="Times New Roman"/>
          <w:sz w:val="20"/>
          <w:szCs w:val="20"/>
        </w:rPr>
      </w:pPr>
      <w:r>
        <w:rPr>
          <w:rFonts w:ascii="Cambria" w:hAnsi="Cambria" w:eastAsia="Times New Roman" w:cs="Times New Roman"/>
          <w:sz w:val="20"/>
          <w:szCs w:val="20"/>
        </w:rPr>
        <w:br w:type="page" w:clear="all"/>
      </w:r>
      <w:r>
        <w:rPr>
          <w:rFonts w:ascii="Cambria" w:hAnsi="Cambria" w:eastAsia="Times New Roman" w:cs="Times New Roman"/>
          <w:sz w:val="20"/>
          <w:szCs w:val="20"/>
        </w:rPr>
      </w:r>
    </w:p>
    <w:p>
      <w:pPr>
        <w:pBdr/>
        <w:spacing w:after="0"/>
        <w:ind/>
        <w:rPr>
          <w:rFonts w:ascii="Cambria" w:hAnsi="Cambria" w:eastAsia="Times New Roman" w:cs="Times New Roman"/>
          <w:b/>
          <w:bCs/>
          <w:sz w:val="20"/>
          <w:szCs w:val="20"/>
        </w:rPr>
      </w:pPr>
      <w:r>
        <w:rPr>
          <w:rFonts w:ascii="Cambria" w:hAnsi="Cambria" w:eastAsia="Times New Roman" w:cs="Times New Roman"/>
          <w:b/>
          <w:bCs/>
          <w:sz w:val="20"/>
          <w:szCs w:val="20"/>
        </w:rPr>
        <w:t xml:space="preserve">Introduction</w:t>
      </w:r>
      <w:r>
        <w:rPr>
          <w:rFonts w:ascii="Cambria" w:hAnsi="Cambria" w:eastAsia="Times New Roman" w:cs="Times New Roman"/>
          <w:b/>
          <w:bCs/>
          <w:sz w:val="20"/>
          <w:szCs w:val="20"/>
        </w:rPr>
      </w:r>
    </w:p>
    <w:p>
      <w:pPr>
        <w:pBdr/>
        <w:spacing w:after="0"/>
        <w:ind/>
        <w:rPr>
          <w:rFonts w:ascii="Cambria" w:hAnsi="Cambria" w:eastAsia="Times New Roman" w:cs="Times New Roman"/>
          <w:b/>
          <w:sz w:val="20"/>
          <w:szCs w:val="20"/>
        </w:rPr>
      </w:pPr>
      <w:r>
        <w:rPr>
          <w:rFonts w:ascii="Cambria" w:hAnsi="Cambria" w:eastAsia="Times New Roman" w:cs="Times New Roman"/>
          <w:b/>
          <w:sz w:val="20"/>
          <w:szCs w:val="20"/>
        </w:rPr>
      </w:r>
      <w:r>
        <w:rPr>
          <w:rFonts w:ascii="Cambria" w:hAnsi="Cambria" w:eastAsia="Times New Roman" w:cs="Times New Roman"/>
          <w:b/>
          <w:sz w:val="20"/>
          <w:szCs w:val="20"/>
        </w:rPr>
      </w:r>
    </w:p>
    <w:p>
      <w:pPr>
        <w:pBdr/>
        <w:spacing w:after="0"/>
        <w:ind/>
        <w:jc w:val="both"/>
        <w:rPr>
          <w:rFonts w:ascii="Cambria" w:hAnsi="Cambria" w:eastAsia="Times New Roman" w:cs="Times New Roman"/>
          <w:sz w:val="20"/>
          <w:szCs w:val="20"/>
          <w:highlight w:val="yellow"/>
        </w:rPr>
      </w:pPr>
      <w:r>
        <w:rPr>
          <w:rFonts w:ascii="Cambria" w:hAnsi="Cambria" w:eastAsia="Times New Roman" w:cs="Times New Roman"/>
          <w:sz w:val="20"/>
          <w:szCs w:val="20"/>
        </w:rPr>
        <w:t xml:space="preserve">The </w:t>
      </w:r>
      <w:r>
        <w:rPr>
          <w:rFonts w:ascii="Cambria" w:hAnsi="Cambria" w:eastAsia="Times New Roman" w:cs="Times New Roman"/>
          <w:sz w:val="20"/>
          <w:szCs w:val="20"/>
        </w:rPr>
        <w:t xml:space="preserve">Swordfish Species Group</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at the Swordfish Data Preparatory Meeting</w:t>
      </w:r>
      <w:r>
        <w:rPr>
          <w:rFonts w:ascii="Cambria" w:hAnsi="Cambria" w:eastAsia="Times New Roman" w:cs="Times New Roman"/>
          <w:sz w:val="20"/>
          <w:szCs w:val="20"/>
        </w:rPr>
        <w:t xml:space="preserve"> in 2026</w:t>
      </w:r>
      <w:r>
        <w:rPr>
          <w:rFonts w:ascii="Cambria" w:hAnsi="Cambria" w:eastAsia="Times New Roman" w:cs="Times New Roman"/>
          <w:sz w:val="20"/>
          <w:szCs w:val="20"/>
        </w:rPr>
        <w:t xml:space="preserve"> (Anon., 2026)</w:t>
      </w:r>
      <w:r>
        <w:rPr>
          <w:rFonts w:ascii="Cambria" w:hAnsi="Cambria" w:eastAsia="Times New Roman" w:cs="Times New Roman"/>
          <w:sz w:val="20"/>
          <w:szCs w:val="20"/>
        </w:rPr>
        <w:t xml:space="preserve">recommended that the a4a </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Assessment for All</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model (assessment for all initiative) will be considered for inclusion in the ICCAT software catalogue</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Following this recommendation, this document provides a review of the a4a </w:t>
      </w:r>
      <w:r>
        <w:rPr>
          <w:rFonts w:ascii="Cambria" w:hAnsi="Cambria" w:eastAsia="Times New Roman" w:cs="Times New Roman"/>
          <w:sz w:val="20"/>
          <w:szCs w:val="20"/>
        </w:rPr>
        <w:t xml:space="preserve">model </w:t>
      </w:r>
      <w:r>
        <w:rPr>
          <w:rFonts w:ascii="Cambria" w:hAnsi="Cambria" w:eastAsia="Times New Roman" w:cs="Times New Roman"/>
          <w:sz w:val="20"/>
          <w:szCs w:val="20"/>
        </w:rPr>
        <w:t xml:space="preserve">for the ICCAT software catalogue</w:t>
      </w:r>
      <w:r>
        <w:rPr>
          <w:rFonts w:ascii="Cambria" w:hAnsi="Cambria" w:eastAsia="Times New Roman" w:cs="Times New Roman"/>
          <w:sz w:val="20"/>
          <w:szCs w:val="20"/>
        </w:rPr>
        <w:t xml:space="preserve">.</w:t>
      </w:r>
      <w:r>
        <w:rPr>
          <w:rFonts w:ascii="Cambria" w:hAnsi="Cambria" w:eastAsia="Times New Roman" w:cs="Times New Roman"/>
          <w:sz w:val="20"/>
          <w:szCs w:val="20"/>
          <w:highlight w:val="yellow"/>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The a4a model</w:t>
      </w:r>
      <w:r>
        <w:rPr>
          <w:rFonts w:ascii="Cambria" w:hAnsi="Cambria" w:eastAsia="Times New Roman" w:cs="Times New Roman"/>
          <w:b/>
          <w:bCs/>
          <w:sz w:val="20"/>
          <w:szCs w:val="20"/>
        </w:rPr>
      </w:r>
    </w:p>
    <w:p>
      <w:pPr>
        <w:pBdr/>
        <w:spacing w:after="0"/>
        <w:ind/>
        <w:jc w:val="both"/>
        <w:rPr>
          <w:rFonts w:ascii="Cambria" w:hAnsi="Cambria" w:eastAsia="Times New Roman" w:cs="Times New Roman"/>
          <w:b/>
          <w:sz w:val="20"/>
          <w:szCs w:val="20"/>
        </w:rPr>
      </w:pPr>
      <w:r>
        <w:rPr>
          <w:rFonts w:ascii="Cambria" w:hAnsi="Cambria" w:eastAsia="Times New Roman" w:cs="Times New Roman"/>
          <w:b/>
          <w:sz w:val="20"/>
          <w:szCs w:val="20"/>
        </w:rPr>
      </w:r>
      <w:r>
        <w:rPr>
          <w:rFonts w:ascii="Cambria" w:hAnsi="Cambria" w:eastAsia="Times New Roman" w:cs="Times New Roman"/>
          <w:b/>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(a4a) framework is a statistical catch-at-age (SCA) stock assessment </w:t>
      </w:r>
      <w:r>
        <w:rPr>
          <w:rFonts w:ascii="Cambria" w:hAnsi="Cambria" w:eastAsia="Times New Roman" w:cs="Times New Roman"/>
          <w:sz w:val="20"/>
          <w:szCs w:val="20"/>
        </w:rPr>
        <w:t xml:space="preserve">model integrated within the </w:t>
      </w:r>
      <w:r>
        <w:rPr>
          <w:rFonts w:ascii="Cambria" w:hAnsi="Cambria" w:eastAsia="Times New Roman" w:cs="Times New Roman"/>
          <w:sz w:val="20"/>
          <w:szCs w:val="20"/>
        </w:rPr>
        <w:fldChar w:fldCharType="begin"/>
      </w:r>
      <w:r>
        <w:rPr>
          <w:rFonts w:ascii="Cambria" w:hAnsi="Cambria" w:eastAsia="Times New Roman" w:cs="Times New Roman"/>
          <w:sz w:val="20"/>
          <w:szCs w:val="20"/>
        </w:rPr>
        <w:instrText xml:space="preserve">HYPERLINK "https://flrproject.org/" \l "page-top"</w:instrText>
      </w:r>
      <w:r>
        <w:rPr>
          <w:rFonts w:ascii="Cambria" w:hAnsi="Cambria" w:eastAsia="Times New Roman" w:cs="Times New Roman"/>
          <w:sz w:val="20"/>
          <w:szCs w:val="20"/>
        </w:rPr>
        <w:fldChar w:fldCharType="separate"/>
      </w:r>
      <w:r>
        <w:rPr>
          <w:rStyle w:val="939"/>
          <w:rFonts w:ascii="Cambria" w:hAnsi="Cambria" w:eastAsia="Times New Roman" w:cs="Times New Roman"/>
          <w:sz w:val="20"/>
          <w:szCs w:val="20"/>
        </w:rPr>
        <w:t xml:space="preserve">Fisheries Library for R</w:t>
      </w:r>
      <w:r>
        <w:rPr>
          <w:rFonts w:ascii="Cambria" w:hAnsi="Cambria" w:eastAsia="Times New Roman" w:cs="Times New Roman"/>
          <w:sz w:val="20"/>
          <w:szCs w:val="20"/>
        </w:rPr>
        <w:fldChar w:fldCharType="end"/>
      </w:r>
      <w:r>
        <w:rPr>
          <w:rFonts w:ascii="Cambria" w:hAnsi="Cambria" w:eastAsia="Times New Roman" w:cs="Times New Roman"/>
          <w:sz w:val="20"/>
          <w:szCs w:val="20"/>
        </w:rPr>
        <w:t xml:space="preserve"> (FLR).</w:t>
      </w:r>
      <w:r/>
      <w:r>
        <w:rPr>
          <w:rFonts w:ascii="Cambria" w:hAnsi="Cambria" w:eastAsia="Times New Roman" w:cs="Times New Roman"/>
          <w:sz w:val="20"/>
          <w:szCs w:val="20"/>
        </w:rPr>
      </w:r>
    </w:p>
    <w:p>
      <w:pPr>
        <w:pBdr/>
        <w:spacing w:after="0"/>
        <w:ind/>
        <w:jc w:val="both"/>
        <w:rPr>
          <w:ins w:id="0" w:author=""/>
          <w:rFonts w:ascii="Cambria" w:hAnsi="Cambria" w:eastAsia="Times New Roman" w:cs="Times New Roman"/>
          <w:b/>
          <w:bCs/>
          <w:sz w:val="20"/>
          <w:szCs w:val="20"/>
        </w:rPr>
      </w:pPr>
      <w:r>
        <w:rPr>
          <w:rFonts w:ascii="Cambria" w:hAnsi="Cambria" w:eastAsia="Times New Roman" w:cs="Times New Roman"/>
          <w:b/>
          <w:bCs/>
          <w:sz w:val="20"/>
          <w:szCs w:val="20"/>
        </w:rPr>
      </w:r>
      <w:del w:id="1" w:author="Ai Kimoto" w:date="2026-05-19T10:06:00Z">
        <w:r>
          <w:rPr>
            <w:rFonts w:ascii="Cambria" w:hAnsi="Cambria" w:eastAsia="Times New Roman" w:cs="Times New Roman"/>
            <w:b/>
            <w:bCs/>
            <w:sz w:val="20"/>
            <w:szCs w:val="20"/>
          </w:rPr>
        </w:r>
      </w:del>
      <w:ins w:id="2">
        <w:r>
          <w:rPr>
            <w:rFonts w:ascii="Cambria" w:hAnsi="Cambria" w:eastAsia="Times New Roman" w:cs="Times New Roman"/>
            <w:b/>
            <w:bCs/>
            <w:sz w:val="20"/>
            <w:szCs w:val="20"/>
          </w:rPr>
        </w:r>
      </w:ins>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Initiative (a4a) </w:t>
      </w:r>
      <w:r>
        <w:rPr>
          <w:rFonts w:ascii="Cambria" w:hAnsi="Cambria" w:eastAsia="Times New Roman" w:cs="Times New Roman"/>
          <w:sz w:val="20"/>
          <w:szCs w:val="20"/>
        </w:rPr>
        <w:t xml:space="preserve">model </w:t>
      </w:r>
      <w:r>
        <w:rPr>
          <w:rFonts w:ascii="Cambria" w:hAnsi="Cambria" w:eastAsia="Times New Roman" w:cs="Times New Roman"/>
          <w:sz w:val="20"/>
          <w:szCs w:val="20"/>
        </w:rPr>
        <w:t xml:space="preserve">was launched by the European Commission Joint Research Centre (JRC) in 2012 with the primary goal of developing, testing, and distributing methods capable of assessing a large number of stocks </w:t>
      </w:r>
      <w:r>
        <w:rPr>
          <w:rFonts w:ascii="Cambria" w:hAnsi="Cambria" w:eastAsia="Times New Roman" w:cs="Times New Roman"/>
          <w:sz w:val="20"/>
          <w:szCs w:val="20"/>
        </w:rPr>
        <w:t xml:space="preserve">(for the circa. 250 stocks) </w:t>
      </w:r>
      <w:r>
        <w:rPr>
          <w:rFonts w:ascii="Cambria" w:hAnsi="Cambria" w:eastAsia="Times New Roman" w:cs="Times New Roman"/>
          <w:sz w:val="20"/>
          <w:szCs w:val="20"/>
        </w:rPr>
        <w:t xml:space="preserve">within operational time frames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(Millar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2013)</w:t>
      </w:r>
      <w:r>
        <w:rPr>
          <w:rFonts w:ascii="Cambria" w:hAnsi="Cambria" w:eastAsia="Times New Roman" w:cs="Times New Roman"/>
          <w:sz w:val="20"/>
          <w:szCs w:val="20"/>
        </w:rPr>
        <w:t xml:space="preserve">. The initiative arose from the recognition that the implementation of the EU Data Collection Framework generates large volumes of data</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including for stocks not regularly assessed</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and that traditional stock assessment tools take too long to set up and run for such a broad data landscape (Jardim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2014).</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is built upon the </w:t>
      </w:r>
      <w:hyperlink r:id="rId11" w:tooltip="https://flrproject.org/#page-top" w:anchor="page-top" w:history="1">
        <w:r>
          <w:rPr>
            <w:rStyle w:val="939"/>
            <w:rFonts w:ascii="Cambria" w:hAnsi="Cambria" w:eastAsia="Times New Roman" w:cs="Times New Roman"/>
            <w:sz w:val="20"/>
            <w:szCs w:val="20"/>
          </w:rPr>
          <w:t xml:space="preserve">Fisheries Library for R</w:t>
        </w:r>
      </w:hyperlink>
      <w:r>
        <w:rPr>
          <w:rFonts w:ascii="Cambria" w:hAnsi="Cambria" w:eastAsia="Times New Roman" w:cs="Times New Roman"/>
          <w:sz w:val="20"/>
          <w:szCs w:val="20"/>
        </w:rPr>
        <w:t xml:space="preserve"> (FLR; Kell et al., 2007), a widely used open-source software framework. By integrating flexible statistical submodels with the established FLR data structures, </w:t>
      </w:r>
      <w:r>
        <w:rPr>
          <w:rFonts w:ascii="Cambria" w:hAnsi="Cambria" w:eastAsia="Times New Roman" w:cs="Times New Roman"/>
          <w:sz w:val="20"/>
          <w:szCs w:val="20"/>
        </w:rPr>
        <w:fldChar w:fldCharType="begin"/>
      </w:r>
      <w:r>
        <w:rPr>
          <w:rFonts w:ascii="Cambria" w:hAnsi="Cambria" w:eastAsia="Times New Roman" w:cs="Times New Roman"/>
          <w:sz w:val="20"/>
          <w:szCs w:val="20"/>
        </w:rPr>
        <w:instrText xml:space="preserve">HYPERLINK "https://flrproject.org/FLa4a/"</w:instrText>
      </w:r>
      <w:r>
        <w:rPr>
          <w:rFonts w:ascii="Cambria" w:hAnsi="Cambria" w:eastAsia="Times New Roman" w:cs="Times New Roman"/>
          <w:sz w:val="20"/>
          <w:szCs w:val="20"/>
        </w:rPr>
        <w:fldChar w:fldCharType="separate"/>
      </w:r>
      <w:r>
        <w:rPr>
          <w:rStyle w:val="939"/>
          <w:rFonts w:ascii="Cambria" w:hAnsi="Cambria" w:eastAsia="Times New Roman" w:cs="Times New Roman"/>
          <w:sz w:val="20"/>
          <w:szCs w:val="20"/>
        </w:rPr>
        <w:t xml:space="preserve">F</w:t>
      </w:r>
      <w:r>
        <w:rPr>
          <w:rStyle w:val="939"/>
          <w:rFonts w:ascii="Cambria" w:hAnsi="Cambria" w:eastAsia="Times New Roman" w:cs="Times New Roman"/>
          <w:sz w:val="20"/>
          <w:szCs w:val="20"/>
        </w:rPr>
        <w:t xml:space="preserve">L</w:t>
      </w:r>
      <w:r>
        <w:rPr>
          <w:rStyle w:val="939"/>
          <w:rFonts w:ascii="Cambria" w:hAnsi="Cambria" w:eastAsia="Times New Roman" w:cs="Times New Roman"/>
          <w:sz w:val="20"/>
          <w:szCs w:val="20"/>
        </w:rPr>
        <w:t xml:space="preserve">a4a</w:t>
      </w:r>
      <w:r>
        <w:rPr>
          <w:rFonts w:ascii="Cambria" w:hAnsi="Cambria" w:eastAsia="Times New Roman" w:cs="Times New Roman"/>
          <w:sz w:val="20"/>
          <w:szCs w:val="20"/>
        </w:rPr>
        <w:fldChar w:fldCharType="end"/>
      </w:r>
      <w:r>
        <w:rPr>
          <w:rFonts w:ascii="Cambria" w:hAnsi="Cambria" w:eastAsia="Times New Roman" w:cs="Times New Roman"/>
          <w:sz w:val="20"/>
          <w:szCs w:val="20"/>
        </w:rPr>
        <w:t xml:space="preserve"> enables scientists with varying statistical backgrounds to rapidly construct, fit, and diagnose age-structured stock assessments. </w:t>
      </w:r>
      <w:r>
        <w:rPr>
          <w:rFonts w:ascii="Cambria" w:hAnsi="Cambria" w:eastAsia="Times New Roman" w:cs="Times New Roman"/>
          <w:sz w:val="20"/>
          <w:szCs w:val="20"/>
        </w:rPr>
        <w:t xml:space="preserve">It </w:t>
      </w:r>
      <w:r>
        <w:rPr>
          <w:rFonts w:ascii="Cambria" w:hAnsi="Cambria" w:eastAsia="Times New Roman" w:cs="Times New Roman"/>
          <w:sz w:val="20"/>
          <w:szCs w:val="20"/>
        </w:rPr>
        <w:t xml:space="preserve">also </w:t>
      </w:r>
      <w:r>
        <w:rPr>
          <w:rFonts w:ascii="Cambria" w:hAnsi="Cambria" w:eastAsia="Times New Roman" w:cs="Times New Roman"/>
          <w:sz w:val="20"/>
          <w:szCs w:val="20"/>
        </w:rPr>
        <w:t xml:space="preserve">supports growth modelling, natural mortality modelling, stochastic length-to-age conversion, and projection under harvest control rules.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This framework</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w:t>
      </w:r>
      <w:r>
        <w:rPr>
          <w:rFonts w:ascii="Cambria" w:hAnsi="Cambria" w:eastAsia="Times New Roman" w:cs="Times New Roman"/>
          <w:sz w:val="20"/>
          <w:szCs w:val="20"/>
        </w:rPr>
        <w:fldChar w:fldCharType="begin"/>
      </w:r>
      <w:r>
        <w:rPr>
          <w:rFonts w:ascii="Cambria" w:hAnsi="Cambria" w:eastAsia="Times New Roman" w:cs="Times New Roman"/>
          <w:sz w:val="20"/>
          <w:szCs w:val="20"/>
        </w:rPr>
        <w:instrText xml:space="preserve">HYPERLINK "https://flrproject.org/FLa4a/"</w:instrText>
      </w:r>
      <w:r>
        <w:rPr>
          <w:rFonts w:ascii="Cambria" w:hAnsi="Cambria" w:eastAsia="Times New Roman" w:cs="Times New Roman"/>
          <w:sz w:val="20"/>
          <w:szCs w:val="20"/>
        </w:rPr>
        <w:fldChar w:fldCharType="separate"/>
      </w:r>
      <w:r>
        <w:rPr>
          <w:rStyle w:val="939"/>
          <w:rFonts w:ascii="Cambria" w:hAnsi="Cambria" w:eastAsia="Times New Roman" w:cs="Times New Roman"/>
          <w:sz w:val="20"/>
          <w:szCs w:val="20"/>
        </w:rPr>
        <w:t xml:space="preserve">FLa4a</w:t>
      </w:r>
      <w:r>
        <w:rPr>
          <w:rFonts w:ascii="Cambria" w:hAnsi="Cambria" w:eastAsia="Times New Roman" w:cs="Times New Roman"/>
          <w:sz w:val="20"/>
          <w:szCs w:val="20"/>
        </w:rPr>
        <w:fldChar w:fldCharType="end"/>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 is designed to handle varying levels of data complexity while maintaining</w:t>
      </w:r>
      <w:r>
        <w:rPr>
          <w:rFonts w:ascii="Cambria" w:hAnsi="Cambria"/>
          <w:sz w:val="20"/>
          <w:szCs w:val="20"/>
        </w:rPr>
        <w:t xml:space="preserve"> </w:t>
      </w:r>
      <w:r>
        <w:rPr>
          <w:rFonts w:ascii="Cambria" w:hAnsi="Cambria" w:eastAsia="Times New Roman" w:cs="Times New Roman"/>
          <w:sz w:val="20"/>
          <w:szCs w:val="20"/>
        </w:rPr>
        <w:t xml:space="preserve">a rapid operational timeframe</w:t>
      </w:r>
      <w:r>
        <w:rPr>
          <w:rFonts w:ascii="Cambria" w:hAnsi="Cambria" w:eastAsia="Times New Roman" w:cs="Times New Roman"/>
          <w:sz w:val="20"/>
          <w:szCs w:val="20"/>
        </w:rPr>
        <w:t xml:space="preserve">, and</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has been applied in both European and international contexts</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w:t>
      </w:r>
      <w:r>
        <w:rPr>
          <w:rFonts w:ascii="Cambria" w:hAnsi="Cambria" w:eastAsia="Times New Roman" w:cs="Times New Roman"/>
          <w:sz w:val="20"/>
          <w:szCs w:val="20"/>
        </w:rPr>
        <w:t xml:space="preserve">a4a </w:t>
      </w:r>
      <w:r>
        <w:rPr>
          <w:rFonts w:ascii="Cambria" w:hAnsi="Cambria" w:eastAsia="Times New Roman" w:cs="Times New Roman"/>
          <w:sz w:val="20"/>
          <w:szCs w:val="20"/>
        </w:rPr>
        <w:t xml:space="preserve">model is a simple statistical catch at age model in which the population dynamics are simply that</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the numbers of</w:t>
      </w:r>
      <w:r>
        <w:rPr>
          <w:rFonts w:ascii="Cambria" w:hAnsi="Cambria" w:eastAsia="Times New Roman" w:cs="Times New Roman"/>
          <w:sz w:val="20"/>
          <w:szCs w:val="20"/>
        </w:rPr>
        <w:t xml:space="preserve"> fi</w:t>
      </w:r>
      <w:r>
        <w:rPr>
          <w:rFonts w:ascii="Cambria" w:hAnsi="Cambria" w:eastAsia="Times New Roman" w:cs="Times New Roman"/>
          <w:sz w:val="20"/>
          <w:szCs w:val="20"/>
        </w:rPr>
        <w:t xml:space="preserve">sh in a cohort decline from year to year due to a combination of natural mortality</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and</w:t>
      </w:r>
      <w:r>
        <w:rPr>
          <w:rFonts w:ascii="Cambria" w:hAnsi="Cambria" w:eastAsia="Times New Roman" w:cs="Times New Roman"/>
          <w:sz w:val="20"/>
          <w:szCs w:val="20"/>
        </w:rPr>
        <w:t xml:space="preserve"> fi</w:t>
      </w:r>
      <w:r>
        <w:rPr>
          <w:rFonts w:ascii="Cambria" w:hAnsi="Cambria" w:eastAsia="Times New Roman" w:cs="Times New Roman"/>
          <w:sz w:val="20"/>
          <w:szCs w:val="20"/>
        </w:rPr>
        <w:t xml:space="preserve">shing mortality. </w:t>
      </w:r>
      <w:r>
        <w:rPr>
          <w:rFonts w:ascii="Cambria" w:hAnsi="Cambria" w:eastAsia="Times New Roman" w:cs="Times New Roman"/>
          <w:sz w:val="20"/>
          <w:szCs w:val="20"/>
        </w:rPr>
        <w:t xml:space="preserve">There are </w:t>
      </w:r>
      <w:r>
        <w:rPr>
          <w:rFonts w:ascii="Cambria" w:hAnsi="Cambria" w:eastAsia="Times New Roman" w:cs="Times New Roman"/>
          <w:sz w:val="20"/>
          <w:szCs w:val="20"/>
        </w:rPr>
        <w:t xml:space="preserve">existing</w:t>
      </w:r>
      <w:r>
        <w:rPr>
          <w:rFonts w:ascii="Cambria" w:hAnsi="Cambria" w:eastAsia="Times New Roman" w:cs="Times New Roman"/>
          <w:sz w:val="20"/>
          <w:szCs w:val="20"/>
        </w:rPr>
        <w:t xml:space="preserve"> similar</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age-based</w:t>
      </w:r>
      <w:r>
        <w:rPr>
          <w:rFonts w:ascii="Cambria" w:hAnsi="Cambria" w:eastAsia="Times New Roman" w:cs="Times New Roman"/>
          <w:sz w:val="20"/>
          <w:szCs w:val="20"/>
        </w:rPr>
        <w:t xml:space="preserve"> methods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eXtended Survivors Analysis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XSA</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Shepherd,</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199</w:t>
      </w:r>
      <w:r>
        <w:rPr>
          <w:rFonts w:ascii="Cambria" w:hAnsi="Cambria" w:eastAsia="Times New Roman" w:cs="Times New Roman"/>
          <w:sz w:val="20"/>
          <w:szCs w:val="20"/>
        </w:rPr>
        <w:t xml:space="preserve">9</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Time Series Analysis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TSA; </w:t>
      </w:r>
      <w:r>
        <w:rPr>
          <w:rFonts w:ascii="Cambria" w:hAnsi="Cambria" w:eastAsia="Times New Roman" w:cs="Times New Roman"/>
          <w:sz w:val="20"/>
          <w:szCs w:val="20"/>
        </w:rPr>
        <w:t xml:space="preserve">Gudmundson</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199</w:t>
      </w:r>
      <w:r>
        <w:rPr>
          <w:rFonts w:ascii="Cambria" w:hAnsi="Cambria" w:eastAsia="Times New Roman" w:cs="Times New Roman"/>
          <w:sz w:val="20"/>
          <w:szCs w:val="20"/>
        </w:rPr>
        <w:t xml:space="preserve">4</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and </w:t>
      </w:r>
      <w:r>
        <w:rPr>
          <w:rFonts w:ascii="Cambria" w:hAnsi="Cambria" w:eastAsia="Times New Roman" w:cs="Times New Roman"/>
          <w:sz w:val="20"/>
          <w:szCs w:val="20"/>
        </w:rPr>
        <w:t xml:space="preserve">the State-space Assessment Model</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SAM</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Neilsen</w:t>
      </w:r>
      <w:r>
        <w:rPr>
          <w:rFonts w:ascii="Cambria" w:hAnsi="Cambria" w:eastAsia="Times New Roman" w:cs="Times New Roman"/>
          <w:sz w:val="20"/>
          <w:szCs w:val="20"/>
        </w:rPr>
        <w:t xml:space="preserve"> and Berg</w:t>
      </w:r>
      <w:r>
        <w:rPr>
          <w:rFonts w:ascii="Cambria" w:hAnsi="Cambria" w:eastAsia="Times New Roman" w:cs="Times New Roman"/>
          <w:sz w:val="20"/>
          <w:szCs w:val="20"/>
        </w:rPr>
        <w:t xml:space="preserve">, 20</w:t>
      </w:r>
      <w:r>
        <w:rPr>
          <w:rFonts w:ascii="Cambria" w:hAnsi="Cambria" w:eastAsia="Times New Roman" w:cs="Times New Roman"/>
          <w:sz w:val="20"/>
          <w:szCs w:val="20"/>
        </w:rPr>
        <w:t xml:space="preserve">14</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and all are based on similar underlying assumptions regarding stock dynamics.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The main </w:t>
      </w:r>
      <w:r>
        <w:rPr>
          <w:rFonts w:ascii="Cambria" w:hAnsi="Cambria" w:eastAsia="Times New Roman" w:cs="Times New Roman"/>
          <w:sz w:val="20"/>
          <w:szCs w:val="20"/>
        </w:rPr>
        <w:t xml:space="preserve">differences </w:t>
      </w:r>
      <w:r>
        <w:rPr>
          <w:rFonts w:ascii="Cambria" w:hAnsi="Cambria" w:eastAsia="Times New Roman" w:cs="Times New Roman"/>
          <w:sz w:val="20"/>
          <w:szCs w:val="20"/>
        </w:rPr>
        <w:t xml:space="preserve">between these methods </w:t>
      </w:r>
      <w:r>
        <w:rPr>
          <w:rFonts w:ascii="Cambria" w:hAnsi="Cambria" w:eastAsia="Times New Roman" w:cs="Times New Roman"/>
          <w:sz w:val="20"/>
          <w:szCs w:val="20"/>
        </w:rPr>
        <w:t xml:space="preserve">and </w:t>
      </w:r>
      <w:r>
        <w:rPr>
          <w:rFonts w:ascii="Cambria" w:hAnsi="Cambria" w:eastAsia="Times New Roman" w:cs="Times New Roman"/>
          <w:sz w:val="20"/>
          <w:szCs w:val="20"/>
        </w:rPr>
        <w:t xml:space="preserve">the </w:t>
      </w:r>
      <w:r>
        <w:rPr>
          <w:rFonts w:ascii="Cambria" w:hAnsi="Cambria" w:eastAsia="Times New Roman" w:cs="Times New Roman"/>
          <w:sz w:val="20"/>
          <w:szCs w:val="20"/>
        </w:rPr>
        <w:t xml:space="preserve">a4a model </w:t>
      </w:r>
      <w:r>
        <w:rPr>
          <w:rFonts w:ascii="Cambria" w:hAnsi="Cambria" w:eastAsia="Times New Roman" w:cs="Times New Roman"/>
          <w:sz w:val="20"/>
          <w:szCs w:val="20"/>
        </w:rPr>
        <w:t xml:space="preserve">are</w:t>
      </w:r>
      <w:r>
        <w:rPr>
          <w:rFonts w:ascii="Cambria" w:hAnsi="Cambria" w:eastAsia="Times New Roman" w:cs="Times New Roman"/>
          <w:sz w:val="20"/>
          <w:szCs w:val="20"/>
        </w:rPr>
        <w:t xml:space="preserve"> in how they consider the data and how the </w:t>
      </w:r>
      <w:r>
        <w:rPr>
          <w:rFonts w:ascii="Cambria" w:hAnsi="Cambria" w:eastAsia="Times New Roman" w:cs="Times New Roman"/>
          <w:sz w:val="20"/>
          <w:szCs w:val="20"/>
        </w:rPr>
        <w:t xml:space="preserve">fishery</w:t>
      </w:r>
      <w:r>
        <w:rPr>
          <w:rFonts w:ascii="Cambria" w:hAnsi="Cambria" w:eastAsia="Times New Roman" w:cs="Times New Roman"/>
          <w:sz w:val="20"/>
          <w:szCs w:val="20"/>
        </w:rPr>
        <w:t xml:space="preserve"> dynamics are modelled, and</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user</w:t>
      </w:r>
      <w:r>
        <w:rPr>
          <w:rFonts w:ascii="Cambria" w:hAnsi="Cambria" w:eastAsia="Times New Roman" w:cs="Times New Roman"/>
          <w:sz w:val="20"/>
          <w:szCs w:val="20"/>
        </w:rPr>
        <w:t xml:space="preserve">-friendly</w:t>
      </w:r>
      <w:r>
        <w:rPr>
          <w:rFonts w:ascii="Cambria" w:hAnsi="Cambria" w:eastAsia="Times New Roman" w:cs="Times New Roman"/>
          <w:sz w:val="20"/>
          <w:szCs w:val="20"/>
        </w:rPr>
        <w:t xml:space="preserve"> statistical framework</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The a4a model </w:t>
      </w:r>
      <w:r>
        <w:rPr>
          <w:rFonts w:ascii="Cambria" w:hAnsi="Cambria" w:eastAsia="Times New Roman" w:cs="Times New Roman"/>
          <w:sz w:val="20"/>
          <w:szCs w:val="20"/>
        </w:rPr>
        <w:t xml:space="preserve">use</w:t>
      </w:r>
      <w:r>
        <w:rPr>
          <w:rFonts w:ascii="Cambria" w:hAnsi="Cambria" w:eastAsia="Times New Roman" w:cs="Times New Roman"/>
          <w:sz w:val="20"/>
          <w:szCs w:val="20"/>
        </w:rPr>
        <w:t xml:space="preserve">s</w:t>
      </w:r>
      <w:r>
        <w:rPr>
          <w:rFonts w:ascii="Cambria" w:hAnsi="Cambria" w:eastAsia="Times New Roman" w:cs="Times New Roman"/>
          <w:sz w:val="20"/>
          <w:szCs w:val="20"/>
        </w:rPr>
        <w:t xml:space="preserve"> splines and random e</w:t>
      </w:r>
      <w:r>
        <w:rPr>
          <w:rFonts w:ascii="Cambria" w:hAnsi="Cambria" w:eastAsia="Times New Roman" w:cs="Times New Roman"/>
          <w:sz w:val="20"/>
          <w:szCs w:val="20"/>
        </w:rPr>
        <w:t xml:space="preserve">ff</w:t>
      </w:r>
      <w:r>
        <w:rPr>
          <w:rFonts w:ascii="Cambria" w:hAnsi="Cambria" w:eastAsia="Times New Roman" w:cs="Times New Roman"/>
          <w:sz w:val="20"/>
          <w:szCs w:val="20"/>
        </w:rPr>
        <w:t xml:space="preserve">ects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in </w:t>
      </w:r>
      <w:r>
        <w:rPr>
          <w:rFonts w:ascii="Cambria" w:hAnsi="Cambria" w:eastAsia="Times New Roman" w:cs="Times New Roman"/>
          <w:sz w:val="20"/>
          <w:szCs w:val="20"/>
        </w:rPr>
        <w:t xml:space="preserve">estimating fi</w:t>
      </w:r>
      <w:r>
        <w:rPr>
          <w:rFonts w:ascii="Cambria" w:hAnsi="Cambria" w:eastAsia="Times New Roman" w:cs="Times New Roman"/>
          <w:sz w:val="20"/>
          <w:szCs w:val="20"/>
        </w:rPr>
        <w:t xml:space="preserve">shing mortality to provide a robust and e</w:t>
      </w:r>
      <w:r>
        <w:rPr>
          <w:rFonts w:ascii="Cambria" w:hAnsi="Cambria" w:eastAsia="Times New Roman" w:cs="Times New Roman"/>
          <w:sz w:val="20"/>
          <w:szCs w:val="20"/>
        </w:rPr>
        <w:t xml:space="preserve">ffi</w:t>
      </w:r>
      <w:r>
        <w:rPr>
          <w:rFonts w:ascii="Cambria" w:hAnsi="Cambria" w:eastAsia="Times New Roman" w:cs="Times New Roman"/>
          <w:sz w:val="20"/>
          <w:szCs w:val="20"/>
        </w:rPr>
        <w:t xml:space="preserve">cient way to constrain the model</w:t>
      </w:r>
      <w:r>
        <w:rPr>
          <w:rFonts w:ascii="Cambria" w:hAnsi="Cambria" w:eastAsia="Times New Roman" w:cs="Times New Roman"/>
          <w:sz w:val="20"/>
          <w:szCs w:val="20"/>
        </w:rPr>
        <w:t xml:space="preserve">. </w:t>
      </w:r>
      <w:r>
        <w:rPr>
          <w:rFonts w:ascii="Cambria" w:hAnsi="Cambria" w:eastAsia="Times New Roman" w:cs="Times New Roman"/>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Population Dynamics and Statistical </w:t>
      </w:r>
      <w:r>
        <w:rPr>
          <w:rFonts w:ascii="Cambria" w:hAnsi="Cambria" w:eastAsia="Times New Roman" w:cs="Times New Roman"/>
          <w:b/>
          <w:bCs/>
          <w:sz w:val="20"/>
          <w:szCs w:val="20"/>
        </w:rPr>
        <w:t xml:space="preserve">a4a </w:t>
      </w:r>
      <w:r>
        <w:rPr>
          <w:rFonts w:ascii="Cambria" w:hAnsi="Cambria" w:eastAsia="Times New Roman" w:cs="Times New Roman"/>
          <w:b/>
          <w:bCs/>
          <w:sz w:val="20"/>
          <w:szCs w:val="20"/>
        </w:rPr>
        <w:t xml:space="preserve">Framework</w:t>
      </w:r>
      <w:r>
        <w:rPr>
          <w:rFonts w:ascii="Cambria" w:hAnsi="Cambria" w:eastAsia="Times New Roman" w:cs="Times New Roman"/>
          <w:b/>
          <w:bCs/>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i/>
          <w:iCs/>
          <w:sz w:val="20"/>
          <w:szCs w:val="20"/>
        </w:rPr>
      </w:pPr>
      <w:r>
        <w:rPr>
          <w:rFonts w:ascii="Cambria" w:hAnsi="Cambria"/>
          <w:i/>
          <w:iCs/>
          <w:sz w:val="20"/>
          <w:szCs w:val="20"/>
        </w:rPr>
        <w:t xml:space="preserve">General </w:t>
      </w:r>
      <w:r>
        <w:rPr>
          <w:rFonts w:ascii="Cambria" w:hAnsi="Cambria" w:eastAsia="Times New Roman" w:cs="Times New Roman"/>
          <w:i/>
          <w:iCs/>
          <w:sz w:val="20"/>
          <w:szCs w:val="20"/>
        </w:rPr>
        <w:t xml:space="preserve">Structure</w:t>
      </w:r>
      <w:r>
        <w:rPr>
          <w:rFonts w:ascii="Cambria" w:hAnsi="Cambria"/>
          <w:i/>
          <w:iCs/>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ins w:id="3" w:author=""/>
          <w:rFonts w:ascii="Cambria" w:hAnsi="Cambria" w:eastAsia="Times New Roman" w:cs="Times New Roman"/>
          <w:sz w:val="20"/>
          <w:szCs w:val="20"/>
        </w:rPr>
      </w:pPr>
      <w:r>
        <w:rPr>
          <w:rFonts w:ascii="Cambria" w:hAnsi="Cambria"/>
          <w:sz w:val="20"/>
          <w:szCs w:val="20"/>
        </w:rPr>
      </w:r>
      <w:r>
        <w:rPr>
          <w:rFonts w:ascii="Cambria" w:hAnsi="Cambria" w:eastAsia="Times New Roman" w:cs="Times New Roman"/>
          <w:sz w:val="20"/>
          <w:szCs w:val="20"/>
        </w:rPr>
        <w:t xml:space="preserve">The a4a framework implements a statistical catch-at-age (SCA) model</w:t>
      </w:r>
      <w:r>
        <w:rPr>
          <w:rFonts w:ascii="Cambria" w:hAnsi="Cambria" w:eastAsia="Times New Roman" w:cs="Times New Roman"/>
          <w:sz w:val="20"/>
          <w:szCs w:val="20"/>
        </w:rPr>
        <w:t xml:space="preserve"> and </w:t>
      </w:r>
      <w:r>
        <w:rPr>
          <w:rFonts w:ascii="Cambria" w:hAnsi="Cambria"/>
          <w:sz w:val="20"/>
          <w:szCs w:val="20"/>
        </w:rPr>
        <w:t xml:space="preserve">utili</w:t>
      </w:r>
      <w:r>
        <w:rPr>
          <w:rFonts w:ascii="Cambria" w:hAnsi="Cambria"/>
          <w:sz w:val="20"/>
          <w:szCs w:val="20"/>
        </w:rPr>
        <w:t xml:space="preserve">zes catch-at-age data to derive estimates of historical population size and fishing mortality and, model parameters are estimated by working forward in time while analyses do not require the assumption that removals from the fishery are known without error</w:t>
      </w:r>
      <w:r>
        <w:rPr>
          <w:rFonts w:ascii="Cambria" w:hAnsi="Cambria" w:eastAsia="Times New Roman" w:cs="Times New Roman"/>
          <w:sz w:val="20"/>
          <w:szCs w:val="20"/>
        </w:rPr>
        <w:t xml:space="preserve">. It follows standard equations to track the number of individuals across ages and years:</w:t>
      </w:r>
      <w:r>
        <w:rPr>
          <w:rFonts w:ascii="Cambria" w:hAnsi="Cambria" w:eastAsia="Times New Roman" w:cs="Times New Roman"/>
          <w:sz w:val="20"/>
          <w:szCs w:val="20"/>
        </w:rPr>
      </w:r>
      <w:ins w:id="4">
        <w:r>
          <w:rPr>
            <w:rFonts w:ascii="Cambria" w:hAnsi="Cambria"/>
            <w:sz w:val="20"/>
            <w:szCs w:val="20"/>
          </w:rPr>
        </w:r>
      </w:ins>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a+1,  y+1</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sty m:val="p"/>
            </m:rPr>
            <m:t>exp⁡</m:t>
          </m:r>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M</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oMath>
      </m:oMathPara>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where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oMath>
      <w:r>
        <w:rPr>
          <w:rFonts w:ascii="Cambria" w:hAnsi="Cambria" w:eastAsia="Times New Roman" w:cs="Times New Roman"/>
          <w:sz w:val="20"/>
          <w:szCs w:val="20"/>
        </w:rPr>
        <w:t xml:space="preserve"> is the number of individuals at age 𝑎 in year 𝑦, </w:t>
      </w:r>
      <w:r>
        <w:rPr>
          <w:rFonts w:ascii="Cambria" w:hAnsi="Cambria" w:eastAsia="Times New Roman" w:cs="Times New Roman"/>
          <w:i/>
          <w:iCs/>
          <w:sz w:val="20"/>
          <w:szCs w:val="20"/>
        </w:rPr>
        <w:t xml:space="preserve">F</w:t>
      </w:r>
      <w:r>
        <w:rPr>
          <w:rFonts w:ascii="Cambria" w:hAnsi="Cambria" w:eastAsia="Times New Roman" w:cs="Times New Roman"/>
          <w:sz w:val="20"/>
          <w:szCs w:val="20"/>
        </w:rPr>
        <w:t xml:space="preserve"> is fishing mortality, and </w:t>
      </w:r>
      <w:r>
        <w:rPr>
          <w:rFonts w:ascii="Cambria" w:hAnsi="Cambria" w:eastAsia="Times New Roman" w:cs="Times New Roman"/>
          <w:i/>
          <w:iCs/>
          <w:sz w:val="20"/>
          <w:szCs w:val="20"/>
        </w:rPr>
        <w:t xml:space="preserve">M</w:t>
      </w:r>
      <w:r>
        <w:rPr>
          <w:rFonts w:ascii="Cambria" w:hAnsi="Cambria" w:eastAsia="Times New Roman" w:cs="Times New Roman"/>
          <w:sz w:val="20"/>
          <w:szCs w:val="20"/>
        </w:rPr>
        <w:t xml:space="preserve"> is natural mortality. The model is fitted to two types of observations: catches </w:t>
      </w:r>
      <w:r>
        <w:rPr>
          <w:rFonts w:ascii="Cambria" w:hAnsi="Cambria" w:eastAsia="Times New Roman" w:cs="Times New Roman"/>
          <w:i/>
          <w:iCs/>
          <w:sz w:val="20"/>
          <w:szCs w:val="20"/>
        </w:rPr>
        <w:t xml:space="preserve">C</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and abundance indices </w:t>
      </w:r>
      <w:r>
        <w:rPr>
          <w:rFonts w:ascii="Cambria" w:hAnsi="Cambria" w:eastAsia="Times New Roman" w:cs="Times New Roman"/>
          <w:i/>
          <w:iCs/>
          <w:sz w:val="20"/>
          <w:szCs w:val="20"/>
        </w:rPr>
        <w:t xml:space="preserve">I</w:t>
      </w:r>
      <w:r>
        <w:rPr>
          <w:rFonts w:ascii="Cambria" w:hAnsi="Cambria" w:eastAsia="Times New Roman" w:cs="Times New Roman"/>
          <w:i/>
          <w:iCs/>
          <w:sz w:val="20"/>
          <w:szCs w:val="20"/>
        </w:rPr>
        <w:t xml:space="preserve">,</w:t>
      </w:r>
      <w:r>
        <w:rPr>
          <w:rFonts w:ascii="Cambria" w:hAnsi="Cambria" w:eastAsia="Times New Roman" w:cs="Times New Roman"/>
          <w:sz w:val="20"/>
          <w:szCs w:val="20"/>
        </w:rPr>
        <w:t xml:space="preserve"> each assumed to be log-normally distributed about the model predictions:</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sz w:val="20"/>
          <w:szCs w:val="20"/>
          <w:highlight w:val="yellow"/>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C</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~Normal(</m:t>
          </m:r>
          <m:sSub>
            <m:sSubPr>
              <m:ctrlPr>
                <w:rPr>
                  <w:rFonts w:ascii="Cambria Math" w:hAnsi="Cambria Math" w:eastAsia="Times New Roman" w:cs="Times New Roman"/>
                  <w:i/>
                  <w:sz w:val="20"/>
                  <w:szCs w:val="20"/>
                </w:rPr>
              </m:ctrlPr>
            </m:sSubPr>
            <m:e>
              <m:acc>
                <m:accPr>
                  <m:ctrlPr>
                    <w:rPr>
                      <w:rFonts w:ascii="Cambria Math" w:hAnsi="Cambria Math" w:eastAsia="Times New Roman" w:cs="Times New Roman"/>
                      <w:i/>
                      <w:sz w:val="20"/>
                      <w:szCs w:val="20"/>
                    </w:rPr>
                  </m:ctrlPr>
                </m:accPr>
                <m:e>
                  <m:r>
                    <w:rPr>
                      <w:rFonts w:ascii="Cambria Math" w:hAnsi="Cambria Math" w:eastAsia="Times New Roman" w:cs="Times New Roman"/>
                      <w:sz w:val="20"/>
                      <w:szCs w:val="20"/>
                    </w:rPr>
                    <m:rPr/>
                    <m:t>C</m:t>
                  </m:r>
                </m:e>
              </m:acc>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m:t>
              </m:r>
            </m:sub>
            <m:sup>
              <m:r>
                <w:rPr>
                  <w:rFonts w:ascii="Cambria Math" w:hAnsi="Cambria Math" w:eastAsia="Times New Roman" w:cs="Times New Roman"/>
                  <w:sz w:val="20"/>
                  <w:szCs w:val="20"/>
                </w:rPr>
                <m:rPr/>
                <m:t>2</m:t>
              </m:r>
            </m:sup>
          </m:sSubSup>
          <m:r>
            <w:rPr>
              <w:rFonts w:ascii="Cambria Math" w:hAnsi="Cambria Math" w:eastAsia="Times New Roman" w:cs="Times New Roman"/>
              <w:sz w:val="20"/>
              <w:szCs w:val="20"/>
            </w:rPr>
            <m:rPr/>
            <m:t>)</m:t>
          </m:r>
        </m:oMath>
      </m:oMathPara>
      <w:r/>
      <w:r>
        <w:rPr>
          <w:rFonts w:ascii="Cambria" w:hAnsi="Cambria" w:eastAsia="Times New Roman" w:cs="Times New Roman"/>
          <w:sz w:val="20"/>
          <w:szCs w:val="20"/>
          <w:highlight w:val="yellow"/>
        </w:rPr>
      </w:r>
    </w:p>
    <w:p>
      <w:pPr>
        <w:pBdr/>
        <w:spacing w:after="0"/>
        <w:ind/>
        <w:jc w:val="both"/>
        <w:rPr>
          <w:rFonts w:ascii="Cambria" w:hAnsi="Cambria" w:eastAsia="Times New Roman" w:cs="Times New Roman"/>
          <w:sz w:val="20"/>
          <w:szCs w:val="20"/>
          <w:highlight w:val="yellow"/>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I</m:t>
              </m:r>
            </m:e>
            <m:sub>
              <m:r>
                <w:rPr>
                  <w:rFonts w:ascii="Cambria Math" w:hAnsi="Cambria Math" w:eastAsia="Times New Roman" w:cs="Times New Roman"/>
                  <w:sz w:val="20"/>
                  <w:szCs w:val="20"/>
                </w:rPr>
                <m:rPr/>
                <m:t>a,y,s</m:t>
              </m:r>
            </m:sub>
          </m:sSub>
          <m:r>
            <w:rPr>
              <w:rFonts w:ascii="Cambria Math" w:hAnsi="Cambria Math" w:eastAsia="Times New Roman" w:cs="Times New Roman"/>
              <w:sz w:val="20"/>
              <w:szCs w:val="20"/>
            </w:rPr>
            <m:rPr/>
            <m:t>~Normal(</m:t>
          </m:r>
          <m:sSub>
            <m:sSubPr>
              <m:ctrlPr>
                <w:rPr>
                  <w:rFonts w:ascii="Cambria Math" w:hAnsi="Cambria Math" w:eastAsia="Times New Roman" w:cs="Times New Roman"/>
                  <w:i/>
                  <w:sz w:val="20"/>
                  <w:szCs w:val="20"/>
                </w:rPr>
              </m:ctrlPr>
            </m:sSubPr>
            <m:e>
              <m:acc>
                <m:accPr>
                  <m:ctrlPr>
                    <w:rPr>
                      <w:rFonts w:ascii="Cambria Math" w:hAnsi="Cambria Math" w:eastAsia="Times New Roman" w:cs="Times New Roman"/>
                      <w:i/>
                      <w:sz w:val="20"/>
                      <w:szCs w:val="20"/>
                    </w:rPr>
                  </m:ctrlPr>
                </m:accPr>
                <m:e>
                  <m:r>
                    <w:rPr>
                      <w:rFonts w:ascii="Cambria Math" w:hAnsi="Cambria Math" w:eastAsia="Times New Roman" w:cs="Times New Roman"/>
                      <w:sz w:val="20"/>
                      <w:szCs w:val="20"/>
                    </w:rPr>
                    <m:rPr/>
                    <m:t>I</m:t>
                  </m:r>
                </m:e>
              </m:acc>
            </m:e>
            <m:sub>
              <m:r>
                <w:rPr>
                  <w:rFonts w:ascii="Cambria Math" w:hAnsi="Cambria Math" w:eastAsia="Times New Roman" w:cs="Times New Roman"/>
                  <w:sz w:val="20"/>
                  <w:szCs w:val="20"/>
                </w:rPr>
                <m:rPr/>
                <m:t>a,y,s</m:t>
              </m:r>
            </m:sub>
          </m:sSub>
          <m:r>
            <w:rPr>
              <w:rFonts w:ascii="Cambria Math" w:hAnsi="Cambria Math" w:eastAsia="Times New Roman" w:cs="Times New Roman"/>
              <w:sz w:val="20"/>
              <w:szCs w:val="20"/>
            </w:rPr>
            <m:rPr/>
            <m:t>,</m:t>
          </m:r>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a,y,s</m:t>
              </m:r>
            </m:sub>
            <m:sup>
              <m:r>
                <w:rPr>
                  <w:rFonts w:ascii="Cambria Math" w:hAnsi="Cambria Math" w:eastAsia="Times New Roman" w:cs="Times New Roman"/>
                  <w:sz w:val="20"/>
                  <w:szCs w:val="20"/>
                </w:rPr>
                <m:rPr/>
                <m:t>2</m:t>
              </m:r>
            </m:sup>
          </m:sSubSup>
          <m:r>
            <w:rPr>
              <w:rFonts w:ascii="Cambria Math" w:hAnsi="Cambria Math" w:eastAsia="Times New Roman" w:cs="Times New Roman"/>
              <w:sz w:val="20"/>
              <w:szCs w:val="20"/>
            </w:rPr>
            <m:rPr/>
            <m:t>)</m:t>
          </m:r>
        </m:oMath>
      </m:oMathPara>
      <w:r/>
      <w:r>
        <w:rPr>
          <w:rFonts w:ascii="Cambria" w:hAnsi="Cambria" w:eastAsia="Times New Roman" w:cs="Times New Roman"/>
          <w:sz w:val="20"/>
          <w:szCs w:val="20"/>
          <w:highlight w:val="yellow"/>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total log-likelihood combines the catch </w:t>
      </w:r>
      <w:r>
        <w:rPr>
          <w:rFonts w:ascii="Cambria" w:hAnsi="Cambria" w:eastAsia="Times New Roman" w:cs="Times New Roman"/>
          <w:sz w:val="20"/>
          <w:szCs w:val="20"/>
        </w:rPr>
        <w:t xml:space="preserve">(</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C</m:t>
            </m:r>
          </m:sub>
        </m:sSub>
      </m:oMath>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and index </w:t>
      </w:r>
      <w:r>
        <w:rPr>
          <w:rFonts w:ascii="Cambria" w:hAnsi="Cambria" w:eastAsia="Times New Roman" w:cs="Times New Roman"/>
          <w:sz w:val="20"/>
          <w:szCs w:val="20"/>
        </w:rPr>
        <w:t xml:space="preserve">(</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I</m:t>
            </m:r>
          </m:sub>
        </m:sSub>
      </m:oMath>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components, and optionally a stock–recruitment </w:t>
      </w:r>
      <w:r>
        <w:rPr>
          <w:rFonts w:ascii="Cambria" w:hAnsi="Cambria" w:eastAsia="Times New Roman" w:cs="Times New Roman"/>
          <w:sz w:val="20"/>
          <w:szCs w:val="20"/>
        </w:rPr>
        <w:t xml:space="preserve">(</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SR</m:t>
            </m:r>
          </m:sub>
        </m:sSub>
      </m:oMath>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component:</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highlight w:val="yellow"/>
        </w:rPr>
      </w:pPr>
      <w:r/>
      <m:oMath>
        <m:r>
          <w:rPr>
            <w:rFonts w:ascii="Cambria Math" w:hAnsi="Cambria Math" w:eastAsia="Times New Roman" w:cs="Times New Roman"/>
            <w:sz w:val="20"/>
            <w:szCs w:val="20"/>
          </w:rPr>
          <m:rPr/>
          <m:t>l=</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C</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I</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SR</m:t>
            </m:r>
          </m:sub>
        </m:sSub>
      </m:oMath>
      <w:r>
        <w:rPr>
          <w:rFonts w:ascii="Cambria" w:hAnsi="Cambria" w:eastAsia="Times New Roman" w:cs="Times New Roman"/>
          <w:sz w:val="20"/>
          <w:szCs w:val="20"/>
        </w:rPr>
        <w:t xml:space="preserve"> </w:t>
      </w:r>
      <w:r>
        <w:rPr>
          <w:rFonts w:ascii="Cambria" w:hAnsi="Cambria" w:eastAsia="Times New Roman" w:cs="Times New Roman"/>
          <w:sz w:val="20"/>
          <w:szCs w:val="20"/>
          <w:highlight w:val="yellow"/>
        </w:rPr>
      </w:r>
    </w:p>
    <w:p>
      <w:pPr>
        <w:pBdr/>
        <w:spacing w:after="0" w:line="240" w:lineRule="auto"/>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i/>
          <w:iCs/>
          <w:sz w:val="20"/>
          <w:szCs w:val="20"/>
        </w:rPr>
      </w:pPr>
      <w:r>
        <w:rPr>
          <w:rFonts w:ascii="Cambria" w:hAnsi="Cambria" w:eastAsia="Times New Roman" w:cs="Times New Roman"/>
          <w:i/>
          <w:iCs/>
          <w:sz w:val="20"/>
          <w:szCs w:val="20"/>
        </w:rPr>
        <w:t xml:space="preserve">Submodel Structure</w:t>
      </w:r>
      <w:r>
        <w:rPr>
          <w:rFonts w:ascii="Cambria" w:hAnsi="Cambria" w:eastAsia="Times New Roman" w:cs="Times New Roman"/>
          <w:i/>
          <w:i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A defining feature of the a4a framework is its </w:t>
      </w:r>
      <w:r>
        <w:rPr>
          <w:rFonts w:ascii="Cambria" w:hAnsi="Cambria" w:eastAsia="Times New Roman" w:cs="Times New Roman"/>
          <w:sz w:val="20"/>
          <w:szCs w:val="20"/>
        </w:rPr>
        <w:t xml:space="preserve">submodel formulation</w:t>
      </w:r>
      <w:r>
        <w:rPr>
          <w:rFonts w:ascii="Cambria" w:hAnsi="Cambria" w:eastAsia="Times New Roman" w:cs="Times New Roman"/>
          <w:sz w:val="20"/>
          <w:szCs w:val="20"/>
        </w:rPr>
        <w:t xml:space="preserve">, where each key quantity is specified through flexible R formulas, allowing fishing mortality, catchability, variance, initial population abundance, and recruitment to be parameterized as linear or additive models. Five submodels are in operation:</w:t>
      </w:r>
      <w:r>
        <w:rPr>
          <w:rFonts w:ascii="Cambria" w:hAnsi="Cambria" w:eastAsia="Times New Roman" w:cs="Times New Roman"/>
          <w:sz w:val="20"/>
          <w:szCs w:val="20"/>
        </w:rPr>
      </w:r>
    </w:p>
    <w:p>
      <w:pPr>
        <w:pStyle w:val="953"/>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Fishing mortality </w:t>
      </w:r>
      <w:r>
        <w:rPr>
          <w:rFonts w:ascii="Cambria" w:hAnsi="Cambria" w:eastAsia="Times New Roman" w:cs="Times New Roman"/>
          <w:sz w:val="20"/>
          <w:szCs w:val="20"/>
        </w:rPr>
        <w:t xml:space="preserve">(`fmodel`): model for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oMath>
      <w:r/>
      <w:r>
        <w:rPr>
          <w:rFonts w:ascii="Cambria" w:hAnsi="Cambria"/>
          <w:sz w:val="20"/>
          <w:szCs w:val="20"/>
        </w:rPr>
      </w:r>
    </w:p>
    <w:p>
      <w:pPr>
        <w:pStyle w:val="953"/>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Catchability </w:t>
      </w:r>
      <w:r>
        <w:rPr>
          <w:rFonts w:ascii="Cambria" w:hAnsi="Cambria" w:eastAsia="Times New Roman" w:cs="Times New Roman"/>
          <w:sz w:val="20"/>
          <w:szCs w:val="20"/>
        </w:rPr>
        <w:t xml:space="preserve">(`qmodel`): model for abundance index catchability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Q</m:t>
            </m:r>
          </m:e>
          <m:sub>
            <m:r>
              <w:rPr>
                <w:rFonts w:ascii="Cambria Math" w:hAnsi="Cambria Math" w:eastAsia="Times New Roman" w:cs="Times New Roman"/>
                <w:sz w:val="20"/>
                <w:szCs w:val="20"/>
              </w:rPr>
              <m:rPr/>
              <m:t>a,y,s</m:t>
            </m:r>
          </m:sub>
        </m:sSub>
      </m:oMath>
      <w:r/>
      <w:r>
        <w:rPr>
          <w:rFonts w:ascii="Cambria" w:hAnsi="Cambria"/>
          <w:sz w:val="20"/>
          <w:szCs w:val="20"/>
        </w:rPr>
      </w:r>
    </w:p>
    <w:p>
      <w:pPr>
        <w:pStyle w:val="953"/>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Recruitment</w:t>
      </w:r>
      <w:r>
        <w:rPr>
          <w:rFonts w:ascii="Cambria" w:hAnsi="Cambria" w:eastAsia="Times New Roman" w:cs="Times New Roman"/>
          <w:sz w:val="20"/>
          <w:szCs w:val="20"/>
        </w:rPr>
        <w:t xml:space="preserve"> (`srmodel`): stock–recruitment relationship (Ricker, Beverton-Holt, smooth hockey-stick, or geometric mean)</w:t>
      </w:r>
      <w:r>
        <w:rPr>
          <w:rFonts w:ascii="Cambria" w:hAnsi="Cambria"/>
          <w:sz w:val="20"/>
          <w:szCs w:val="20"/>
        </w:rPr>
      </w:r>
    </w:p>
    <w:p>
      <w:pPr>
        <w:pStyle w:val="953"/>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Observation variance</w:t>
      </w:r>
      <w:r>
        <w:rPr>
          <w:rFonts w:ascii="Cambria" w:hAnsi="Cambria" w:eastAsia="Times New Roman" w:cs="Times New Roman"/>
          <w:sz w:val="20"/>
          <w:szCs w:val="20"/>
        </w:rPr>
        <w:t xml:space="preserve"> (`vmodel`): models for </w:t>
      </w:r>
      <m:oMath>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m:t>
            </m:r>
          </m:sub>
          <m:sup>
            <m:r>
              <w:rPr>
                <w:rFonts w:ascii="Cambria Math" w:hAnsi="Cambria Math" w:eastAsia="Times New Roman" w:cs="Times New Roman"/>
                <w:sz w:val="20"/>
                <w:szCs w:val="20"/>
              </w:rPr>
              <m:rPr/>
              <m:t>2</m:t>
            </m:r>
          </m:sup>
        </m:sSubSup>
      </m:oMath>
      <w:r>
        <w:rPr>
          <w:rFonts w:ascii="Cambria" w:hAnsi="Cambria" w:eastAsia="Times New Roman" w:cs="Times New Roman"/>
          <w:sz w:val="20"/>
          <w:szCs w:val="20"/>
        </w:rPr>
        <w:t xml:space="preserve"> and </w:t>
      </w:r>
      <m:oMath>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a,y,s</m:t>
            </m:r>
          </m:sub>
          <m:sup>
            <m:r>
              <w:rPr>
                <w:rFonts w:ascii="Cambria Math" w:hAnsi="Cambria Math" w:eastAsia="Times New Roman" w:cs="Times New Roman"/>
                <w:sz w:val="20"/>
                <w:szCs w:val="20"/>
              </w:rPr>
              <m:rPr/>
              <m:t>2</m:t>
            </m:r>
          </m:sup>
        </m:sSubSup>
      </m:oMath>
      <w:r/>
      <w:r>
        <w:rPr>
          <w:rFonts w:ascii="Cambria" w:hAnsi="Cambria"/>
          <w:sz w:val="20"/>
          <w:szCs w:val="20"/>
        </w:rPr>
      </w:r>
    </w:p>
    <w:p>
      <w:pPr>
        <w:pStyle w:val="953"/>
        <w:numPr>
          <w:ilvl w:val="0"/>
          <w:numId w:val="1"/>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Initial population</w:t>
      </w:r>
      <w:r>
        <w:rPr>
          <w:rFonts w:ascii="Cambria" w:hAnsi="Cambria" w:eastAsia="Times New Roman" w:cs="Times New Roman"/>
          <w:sz w:val="20"/>
          <w:szCs w:val="20"/>
        </w:rPr>
        <w:t xml:space="preserve"> (`n1model`): model for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=1</m:t>
        </m:r>
      </m:oMath>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Using this approach, log-transformed quantities are parameterized as linear combinations of age and year covariates, including spline smoothers from the `mgcv` package. For example, fishing mortality on the log scale is expressed as: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rPr>
      </w:pPr>
      <w:r/>
      <m:oMathPara>
        <m:oMathParaPr/>
        <m:oMath>
          <m:r>
            <w:rPr>
              <w:rFonts w:ascii="Cambria Math" w:hAnsi="Cambria Math" w:eastAsia="Times New Roman" w:cs="Times New Roman"/>
              <w:sz w:val="20"/>
              <w:szCs w:val="20"/>
            </w:rPr>
            <m:rPr/>
            <m:t>log</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nary>
            <m:naryPr>
              <m:chr m:val="∑"/>
              <m:grow m:val="off"/>
              <m:limLoc m:val="undOvr"/>
              <m:supHide m:val="on"/>
              <m:ctrlPr>
                <w:rPr>
                  <w:rFonts w:ascii="Cambria Math" w:hAnsi="Cambria Math" w:eastAsia="Times New Roman" w:cs="Times New Roman"/>
                  <w:i/>
                  <w:sz w:val="20"/>
                  <w:szCs w:val="20"/>
                </w:rPr>
              </m:ctrlPr>
            </m:naryPr>
            <m:sub>
              <m:r>
                <w:rPr>
                  <w:rFonts w:ascii="Cambria Math" w:hAnsi="Cambria Math" w:eastAsia="Times New Roman" w:cs="Times New Roman"/>
                  <w:sz w:val="20"/>
                  <w:szCs w:val="20"/>
                </w:rPr>
                <m:rPr/>
                <m:t>k</m:t>
              </m:r>
            </m:sub>
            <m:sup/>
            <m:e>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β</m:t>
                  </m:r>
                </m:e>
                <m:sub>
                  <m:r>
                    <w:rPr>
                      <w:rFonts w:ascii="Cambria Math" w:hAnsi="Cambria Math" w:eastAsia="Times New Roman" w:cs="Times New Roman"/>
                      <w:sz w:val="20"/>
                      <w:szCs w:val="20"/>
                    </w:rPr>
                    <m:rPr/>
                    <m:t>k</m:t>
                  </m:r>
                </m:sub>
              </m:sSub>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x</m:t>
                  </m:r>
                </m:e>
                <m:sub>
                  <m:r>
                    <w:rPr>
                      <w:rFonts w:ascii="Cambria Math" w:hAnsi="Cambria Math" w:eastAsia="Times New Roman" w:cs="Times New Roman"/>
                      <w:sz w:val="20"/>
                      <w:szCs w:val="20"/>
                    </w:rPr>
                    <m:rPr/>
                    <m:t>a,y,k</m:t>
                  </m:r>
                </m:sub>
              </m:sSub>
            </m:e>
          </m:nary>
        </m:oMath>
      </m:oMathPara>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This reduces the parameter space while allowing structured</w:t>
      </w:r>
      <w:r>
        <w:rPr>
          <w:rFonts w:ascii="Cambria" w:hAnsi="Cambria" w:eastAsia="Times New Roman" w:cs="Times New Roman"/>
          <w:sz w:val="20"/>
          <w:szCs w:val="20"/>
        </w:rPr>
        <w:t xml:space="preserve"> and</w:t>
      </w:r>
      <w:r>
        <w:rPr>
          <w:rFonts w:ascii="Cambria" w:hAnsi="Cambria" w:eastAsia="Times New Roman" w:cs="Times New Roman"/>
          <w:sz w:val="20"/>
          <w:szCs w:val="20"/>
        </w:rPr>
        <w:t xml:space="preserve"> interpretable models.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i/>
          <w:iCs/>
          <w:sz w:val="20"/>
          <w:szCs w:val="20"/>
        </w:rPr>
      </w:pPr>
      <w:r>
        <w:rPr>
          <w:rFonts w:ascii="Cambria" w:hAnsi="Cambria" w:eastAsia="Times New Roman" w:cs="Times New Roman"/>
          <w:i/>
          <w:iCs/>
          <w:sz w:val="20"/>
          <w:szCs w:val="20"/>
        </w:rPr>
        <w:t xml:space="preserve">Multi-Stage Modelling Approach</w:t>
      </w:r>
      <w:r>
        <w:rPr>
          <w:rFonts w:ascii="Cambria" w:hAnsi="Cambria" w:eastAsia="Times New Roman" w:cs="Times New Roman"/>
          <w:i/>
          <w:i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adopts a </w:t>
      </w:r>
      <w:r>
        <w:rPr>
          <w:rFonts w:ascii="Cambria" w:hAnsi="Cambria" w:eastAsia="Times New Roman" w:cs="Times New Roman"/>
          <w:sz w:val="20"/>
          <w:szCs w:val="20"/>
        </w:rPr>
        <w:t xml:space="preserve">multi-stage modelling approach</w:t>
      </w:r>
      <w:r>
        <w:rPr>
          <w:rFonts w:ascii="Cambria" w:hAnsi="Cambria" w:eastAsia="Times New Roman" w:cs="Times New Roman"/>
          <w:sz w:val="20"/>
          <w:szCs w:val="20"/>
        </w:rPr>
        <w:t xml:space="preserve">. Prior to fitting the stock assessment model, individual growth (via the `a4aGr` class and v</w:t>
      </w:r>
      <w:r>
        <w:rPr>
          <w:rFonts w:ascii="Cambria" w:hAnsi="Cambria" w:eastAsia="Times New Roman" w:cs="Times New Roman"/>
          <w:sz w:val="20"/>
          <w:szCs w:val="20"/>
        </w:rPr>
        <w:t xml:space="preserve">on Bertalanffy or other models), natural mortality (via the `a4aM` class), and length-to-age conversion (via the `l2a` method using stochastic slicing) are handled independently. This reduces parameter confounding, decreases computational demands, and prov</w:t>
      </w:r>
      <w:r>
        <w:rPr>
          <w:rFonts w:ascii="Cambria" w:hAnsi="Cambria" w:eastAsia="Times New Roman" w:cs="Times New Roman"/>
          <w:sz w:val="20"/>
          <w:szCs w:val="20"/>
        </w:rPr>
        <w:t xml:space="preserve">ides an intuitive pathway to propagate biological uncertainty into the overall stock assessment. Uncertainty in growth and natural mortality parameters is incorporated using multivariate normal distributions, triangle distributions, or statistical copulas.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Software Developments</w:t>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w:t>
      </w:r>
      <w:r>
        <w:rPr>
          <w:rFonts w:ascii="Cambria" w:hAnsi="Cambria" w:eastAsia="Times New Roman" w:cs="Times New Roman"/>
          <w:sz w:val="20"/>
          <w:szCs w:val="20"/>
        </w:rPr>
        <w:t xml:space="preserve">International Council for the Exploration of the Sea </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ICES</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JRC, and the broader FLR community have organized manuals, software, and training resources around a4a.</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FLa4a R-Package</w:t>
      </w:r>
      <w:r>
        <w:rPr>
          <w:rFonts w:ascii="Cambria" w:hAnsi="Cambria" w:eastAsia="Times New Roman" w:cs="Times New Roman"/>
          <w:sz w:val="20"/>
          <w:szCs w:val="20"/>
        </w:rPr>
        <w:t xml:space="preserve"> has been d</w:t>
      </w:r>
      <w:r>
        <w:rPr>
          <w:rFonts w:ascii="Cambria" w:hAnsi="Cambria" w:eastAsia="Times New Roman" w:cs="Times New Roman"/>
          <w:sz w:val="20"/>
          <w:szCs w:val="20"/>
        </w:rPr>
        <w:t xml:space="preserve">eveloped by Millar, Jardim, Mosqueira, and collaborators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This package is the primary software component for inclusion in the ICCAT software catalogue.</w:t>
      </w:r>
      <w:r>
        <w:rPr>
          <w:rFonts w:ascii="Cambria" w:hAnsi="Cambria" w:eastAsia="Times New Roman" w:cs="Times New Roman"/>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Style w:val="953"/>
        <w:numPr>
          <w:ilvl w:val="0"/>
          <w:numId w:val="4"/>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GitHub:</w:t>
      </w:r>
      <w:r>
        <w:rPr>
          <w:rFonts w:ascii="Cambria" w:hAnsi="Cambria" w:eastAsia="Times New Roman" w:cs="Times New Roman"/>
          <w:sz w:val="20"/>
          <w:szCs w:val="20"/>
        </w:rPr>
        <w:t xml:space="preserve"> https://github.com/flr/FLa4a  </w:t>
      </w:r>
      <w:r>
        <w:rPr>
          <w:rFonts w:ascii="Cambria" w:hAnsi="Cambria"/>
          <w:sz w:val="20"/>
          <w:szCs w:val="20"/>
        </w:rPr>
      </w:r>
    </w:p>
    <w:p>
      <w:pPr>
        <w:pStyle w:val="953"/>
        <w:numPr>
          <w:ilvl w:val="0"/>
          <w:numId w:val="4"/>
        </w:numPr>
        <w:pBdr/>
        <w:spacing w:after="0" w:line="240" w:lineRule="auto"/>
        <w:ind/>
        <w:jc w:val="both"/>
        <w:rPr>
          <w:rFonts w:ascii="Cambria" w:hAnsi="Cambria"/>
          <w:sz w:val="20"/>
          <w:szCs w:val="20"/>
          <w:lang w:val="pt-BR"/>
        </w:rPr>
      </w:pPr>
      <w:r>
        <w:rPr>
          <w:rFonts w:ascii="Cambria" w:hAnsi="Cambria" w:eastAsia="Times New Roman" w:cs="Times New Roman"/>
          <w:sz w:val="20"/>
          <w:szCs w:val="20"/>
          <w:lang w:val="pt-BR"/>
        </w:rPr>
        <w:t xml:space="preserve">FLR r-universe:</w:t>
      </w:r>
      <w:r>
        <w:rPr>
          <w:rFonts w:ascii="Cambria" w:hAnsi="Cambria" w:eastAsia="Times New Roman" w:cs="Times New Roman"/>
          <w:sz w:val="20"/>
          <w:szCs w:val="20"/>
          <w:lang w:val="pt-BR"/>
        </w:rPr>
        <w:t xml:space="preserve"> https://flr.r-universe.dev/FLa4a</w:t>
      </w:r>
      <w:r>
        <w:rPr>
          <w:rFonts w:ascii="Cambria" w:hAnsi="Cambria"/>
          <w:sz w:val="20"/>
          <w:szCs w:val="20"/>
          <w:lang w:val="pt-BR"/>
        </w:rPr>
      </w:r>
    </w:p>
    <w:p>
      <w:pPr>
        <w:pStyle w:val="953"/>
        <w:numPr>
          <w:ilvl w:val="0"/>
          <w:numId w:val="4"/>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CRAN/FLR install:</w:t>
      </w:r>
      <w:r>
        <w:rPr>
          <w:rFonts w:ascii="Cambria" w:hAnsi="Cambria" w:eastAsia="Times New Roman" w:cs="Times New Roman"/>
          <w:sz w:val="20"/>
          <w:szCs w:val="20"/>
        </w:rPr>
        <w:t xml:space="preserve"> `install.packages(c("FLCore","FLa4a","FLBRP","FLasher", "a4adiags","ggplotFL"), repos=c</w:t>
      </w:r>
      <w:r>
        <w:rPr>
          <w:rFonts w:ascii="Cambria" w:hAnsi="Cambria" w:eastAsia="Times New Roman" w:cs="Times New Roman"/>
          <w:sz w:val="20"/>
          <w:szCs w:val="20"/>
        </w:rPr>
        <w:t xml:space="preserve">(FLR="https://flr.r-universe.dev", CRAN="https://cloud.r-project.org"))`</w:t>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t xml:space="preserve">The a4a model has been </w:t>
      </w:r>
      <w:r>
        <w:rPr>
          <w:rFonts w:ascii="Cambria" w:hAnsi="Cambria"/>
          <w:sz w:val="20"/>
          <w:szCs w:val="20"/>
        </w:rPr>
        <w:t xml:space="preserve">validated</w:t>
      </w:r>
      <w:r>
        <w:rPr>
          <w:rFonts w:ascii="Cambria" w:hAnsi="Cambria"/>
          <w:sz w:val="20"/>
          <w:szCs w:val="20"/>
        </w:rPr>
        <w:t xml:space="preserve"> through </w:t>
      </w:r>
      <w:r>
        <w:rPr>
          <w:rFonts w:ascii="Cambria" w:hAnsi="Cambria"/>
          <w:sz w:val="20"/>
          <w:szCs w:val="20"/>
        </w:rPr>
        <w:t xml:space="preserve">simulation testing design</w:t>
      </w:r>
      <w:r>
        <w:rPr>
          <w:rFonts w:ascii="Cambria" w:hAnsi="Cambria"/>
          <w:sz w:val="20"/>
          <w:szCs w:val="20"/>
        </w:rPr>
        <w:t xml:space="preserve">,</w:t>
      </w:r>
      <w:r>
        <w:rPr>
          <w:rFonts w:ascii="Cambria" w:hAnsi="Cambria"/>
          <w:sz w:val="20"/>
          <w:szCs w:val="20"/>
        </w:rPr>
        <w:t xml:space="preserve"> </w:t>
      </w:r>
      <w:r>
        <w:rPr>
          <w:rFonts w:ascii="Cambria" w:hAnsi="Cambria"/>
          <w:sz w:val="20"/>
          <w:szCs w:val="20"/>
        </w:rPr>
        <w:t xml:space="preserve">by developing s</w:t>
      </w:r>
      <w:r>
        <w:rPr>
          <w:rFonts w:ascii="Cambria" w:hAnsi="Cambria"/>
          <w:sz w:val="20"/>
          <w:szCs w:val="20"/>
        </w:rPr>
        <w:t xml:space="preserve">tocks based on </w:t>
      </w:r>
      <w:r>
        <w:rPr>
          <w:rFonts w:ascii="Cambria" w:hAnsi="Cambria"/>
          <w:sz w:val="20"/>
          <w:szCs w:val="20"/>
        </w:rPr>
        <w:t xml:space="preserve">ICES </w:t>
      </w:r>
      <w:r>
        <w:rPr>
          <w:rFonts w:ascii="Cambria" w:hAnsi="Cambria"/>
          <w:sz w:val="20"/>
          <w:szCs w:val="20"/>
        </w:rPr>
        <w:t xml:space="preserve">Workshop on the Development of Quantitative Assessment Methodologies based on Life-history traits, exploitation characteristics, and other relevant parameters for data-limited stocks</w:t>
      </w:r>
      <w:r>
        <w:rPr>
          <w:rFonts w:ascii="Cambria" w:hAnsi="Cambria"/>
          <w:sz w:val="20"/>
          <w:szCs w:val="20"/>
        </w:rPr>
        <w:t xml:space="preserve"> (</w:t>
      </w:r>
      <w:r>
        <w:rPr>
          <w:rFonts w:ascii="Cambria" w:hAnsi="Cambria"/>
          <w:sz w:val="20"/>
          <w:szCs w:val="20"/>
        </w:rPr>
        <w:t xml:space="preserve">WKLIFE</w:t>
      </w:r>
      <w:r>
        <w:rPr>
          <w:rFonts w:ascii="Cambria" w:hAnsi="Cambria"/>
          <w:sz w:val="20"/>
          <w:szCs w:val="20"/>
        </w:rPr>
        <w:t xml:space="preserve">) </w:t>
      </w:r>
      <w:r>
        <w:rPr>
          <w:rFonts w:ascii="Cambria" w:hAnsi="Cambria"/>
          <w:sz w:val="20"/>
          <w:szCs w:val="20"/>
        </w:rPr>
        <w:t xml:space="preserve">life history parameters</w:t>
      </w:r>
      <w:r>
        <w:rPr>
          <w:rFonts w:ascii="Cambria" w:hAnsi="Cambria"/>
          <w:sz w:val="20"/>
          <w:szCs w:val="20"/>
        </w:rPr>
        <w:t xml:space="preserve"> (Millar </w:t>
      </w:r>
      <w:r>
        <w:rPr>
          <w:rFonts w:ascii="Cambria" w:hAnsi="Cambria"/>
          <w:i/>
          <w:iCs/>
          <w:sz w:val="20"/>
          <w:szCs w:val="20"/>
        </w:rPr>
        <w:t xml:space="preserve">et al</w:t>
      </w:r>
      <w:r>
        <w:rPr>
          <w:rFonts w:ascii="Cambria" w:hAnsi="Cambria"/>
          <w:sz w:val="20"/>
          <w:szCs w:val="20"/>
        </w:rPr>
        <w:t xml:space="preserve">., </w:t>
      </w:r>
      <w:r>
        <w:rPr>
          <w:rFonts w:ascii="Cambria" w:hAnsi="Cambria"/>
          <w:sz w:val="20"/>
          <w:szCs w:val="20"/>
        </w:rPr>
        <w:t xml:space="preserve">2013</w:t>
      </w:r>
      <w:r>
        <w:rPr>
          <w:rFonts w:ascii="Cambria" w:hAnsi="Cambria"/>
          <w:sz w:val="20"/>
          <w:szCs w:val="20"/>
        </w:rPr>
        <w:t xml:space="preserve">)</w:t>
      </w:r>
      <w:r>
        <w:rPr>
          <w:rFonts w:ascii="Cambria" w:hAnsi="Cambria"/>
          <w:sz w:val="20"/>
          <w:szCs w:val="20"/>
        </w:rPr>
        <w:t xml:space="preserve">.</w:t>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A companion </w:t>
      </w:r>
      <w:r>
        <w:rPr>
          <w:rFonts w:ascii="Cambria" w:hAnsi="Cambria" w:eastAsia="Times New Roman" w:cs="Times New Roman"/>
          <w:sz w:val="20"/>
          <w:szCs w:val="20"/>
        </w:rPr>
        <w:t xml:space="preserve">Diagnostic </w:t>
      </w:r>
      <w:r>
        <w:rPr>
          <w:rFonts w:ascii="Cambria" w:hAnsi="Cambria" w:eastAsia="Times New Roman" w:cs="Times New Roman"/>
          <w:sz w:val="20"/>
          <w:szCs w:val="20"/>
        </w:rPr>
        <w:t xml:space="preserve">R-package</w:t>
      </w:r>
      <w:r>
        <w:rPr>
          <w:rFonts w:ascii="Cambria" w:hAnsi="Cambria" w:eastAsia="Times New Roman" w:cs="Times New Roman"/>
          <w:sz w:val="20"/>
          <w:szCs w:val="20"/>
        </w:rPr>
        <w:t xml:space="preserve">, </w:t>
      </w:r>
      <w:r>
        <w:rPr>
          <w:rFonts w:ascii="Cambria" w:hAnsi="Cambria" w:eastAsia="Times New Roman" w:cs="Times New Roman"/>
          <w:sz w:val="20"/>
          <w:szCs w:val="20"/>
        </w:rPr>
        <w:fldChar w:fldCharType="begin"/>
      </w:r>
      <w:r>
        <w:rPr>
          <w:rFonts w:ascii="Cambria" w:hAnsi="Cambria" w:eastAsia="Times New Roman" w:cs="Times New Roman"/>
          <w:sz w:val="20"/>
          <w:szCs w:val="20"/>
        </w:rPr>
        <w:instrText xml:space="preserve">HYPERLINK "https://github.com/flr/a4adiags"</w:instrText>
      </w:r>
      <w:r>
        <w:rPr>
          <w:rFonts w:ascii="Cambria" w:hAnsi="Cambria" w:eastAsia="Times New Roman" w:cs="Times New Roman"/>
          <w:sz w:val="20"/>
          <w:szCs w:val="20"/>
        </w:rPr>
        <w:fldChar w:fldCharType="separate"/>
      </w:r>
      <w:r>
        <w:rPr>
          <w:rStyle w:val="939"/>
          <w:rFonts w:ascii="Cambria" w:hAnsi="Cambria" w:eastAsia="Times New Roman" w:cs="Times New Roman"/>
          <w:sz w:val="20"/>
          <w:szCs w:val="20"/>
        </w:rPr>
        <w:t xml:space="preserve">a4adiags</w:t>
      </w:r>
      <w:r>
        <w:rPr>
          <w:rFonts w:ascii="Cambria" w:hAnsi="Cambria" w:eastAsia="Times New Roman" w:cs="Times New Roman"/>
          <w:sz w:val="20"/>
          <w:szCs w:val="20"/>
        </w:rPr>
        <w:fldChar w:fldCharType="end"/>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has also been developed by Mosqueira and Winker, to </w:t>
      </w:r>
      <w:r>
        <w:rPr>
          <w:rFonts w:ascii="Cambria" w:hAnsi="Cambria" w:eastAsia="Times New Roman" w:cs="Times New Roman"/>
          <w:sz w:val="20"/>
          <w:szCs w:val="20"/>
        </w:rPr>
        <w:t xml:space="preserve">provid</w:t>
      </w:r>
      <w:r>
        <w:rPr>
          <w:rFonts w:ascii="Cambria" w:hAnsi="Cambria" w:eastAsia="Times New Roman" w:cs="Times New Roman"/>
          <w:sz w:val="20"/>
          <w:szCs w:val="20"/>
        </w:rPr>
        <w:t xml:space="preserve">e</w:t>
      </w:r>
      <w:r>
        <w:rPr>
          <w:rFonts w:ascii="Cambria" w:hAnsi="Cambria" w:eastAsia="Times New Roman" w:cs="Times New Roman"/>
          <w:sz w:val="20"/>
          <w:szCs w:val="20"/>
        </w:rPr>
        <w:t xml:space="preserve"> extended diagnostics including hindcast evaluation (MASE), following the recommendations of Carvalho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(2021) and Kell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(2016).</w:t>
      </w:r>
      <w:r>
        <w:rPr>
          <w:rFonts w:ascii="Cambria" w:hAnsi="Cambria"/>
          <w:sz w:val="20"/>
          <w:szCs w:val="20"/>
        </w:rPr>
      </w:r>
    </w:p>
    <w:p>
      <w:pPr>
        <w:pStyle w:val="953"/>
        <w:numPr>
          <w:ilvl w:val="0"/>
          <w:numId w:val="6"/>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GitHub:</w:t>
      </w:r>
      <w:r>
        <w:rPr>
          <w:rFonts w:ascii="Cambria" w:hAnsi="Cambria" w:eastAsia="Times New Roman" w:cs="Times New Roman"/>
          <w:sz w:val="20"/>
          <w:szCs w:val="20"/>
        </w:rPr>
        <w:t xml:space="preserve"> </w:t>
      </w:r>
      <w:r>
        <w:fldChar w:fldCharType="begin"/>
      </w:r>
      <w:r>
        <w:instrText xml:space="preserve">HYPERLINK "https://github.com/flr/a4adiags" \o "https://github.com/flr/a4adiags"</w:instrText>
      </w:r>
      <w:r>
        <w:fldChar w:fldCharType="separate"/>
      </w:r>
      <w:r>
        <w:rPr>
          <w:rStyle w:val="939"/>
          <w:rFonts w:ascii="Cambria" w:hAnsi="Cambria" w:eastAsia="Times New Roman" w:cs="Times New Roman"/>
          <w:sz w:val="20"/>
          <w:szCs w:val="20"/>
        </w:rPr>
        <w:t xml:space="preserve">https://github.com/flr/a4adiags</w:t>
      </w:r>
      <w:r>
        <w:fldChar w:fldCharType="end"/>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
        <w:rPr>
          <w:rFonts w:ascii="Cambria" w:hAnsi="Cambria" w:eastAsia="Times New Roman" w:cs="Times New Roman"/>
          <w:b/>
          <w:bCs/>
          <w:sz w:val="20"/>
          <w:szCs w:val="20"/>
        </w:rPr>
        <w:t xml:space="preserve">Application to Fisheries Stocks</w:t>
      </w:r>
      <w:r>
        <w:rPr>
          <w:rFonts w:ascii="Cambria" w:hAnsi="Cambria" w:eastAsia="Times New Roman" w:cs="Times New Roman"/>
          <w:b/>
          <w:b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The a4a framework has been widely applied in European and international contexts:</w:t>
      </w:r>
      <w:r>
        <w:rPr>
          <w:rFonts w:ascii="Cambria" w:hAnsi="Cambria"/>
          <w:sz w:val="20"/>
          <w:szCs w:val="20"/>
        </w:rPr>
      </w:r>
    </w:p>
    <w:p>
      <w:pPr>
        <w:pStyle w:val="953"/>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Mediterranean Sea:</w:t>
      </w:r>
      <w:r>
        <w:rPr>
          <w:rFonts w:ascii="Cambria" w:hAnsi="Cambria" w:eastAsia="Times New Roman" w:cs="Times New Roman"/>
          <w:sz w:val="20"/>
          <w:szCs w:val="20"/>
        </w:rPr>
        <w:t xml:space="preserve"> More than 200 stock assessments as of 2024, conducted through the GFCM and STECF assessment working groups.</w:t>
      </w:r>
      <w:r>
        <w:rPr>
          <w:rFonts w:ascii="Cambria" w:hAnsi="Cambria"/>
          <w:sz w:val="20"/>
          <w:szCs w:val="20"/>
        </w:rPr>
      </w:r>
    </w:p>
    <w:p>
      <w:pPr>
        <w:pStyle w:val="953"/>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ICES stocks:</w:t>
      </w:r>
      <w:r>
        <w:rPr>
          <w:rFonts w:ascii="Cambria" w:hAnsi="Cambria" w:eastAsia="Times New Roman" w:cs="Times New Roman"/>
          <w:sz w:val="20"/>
          <w:szCs w:val="20"/>
        </w:rPr>
        <w:t xml:space="preserve"> Used in the Strategic Initiative on Stock Assessment Methods (2013 World Conference on Stock Assessment Methods) and evaluated comparatively against other SCA methods (Cadrin, 2025).</w:t>
      </w:r>
      <w:r>
        <w:rPr>
          <w:rFonts w:ascii="Cambria" w:hAnsi="Cambria"/>
          <w:sz w:val="20"/>
          <w:szCs w:val="20"/>
        </w:rPr>
      </w:r>
    </w:p>
    <w:p>
      <w:pPr>
        <w:pStyle w:val="953"/>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Case studies documented in the a4a handbook:</w:t>
      </w:r>
      <w:r>
        <w:rPr>
          <w:rFonts w:ascii="Cambria" w:hAnsi="Cambria" w:eastAsia="Times New Roman" w:cs="Times New Roman"/>
          <w:sz w:val="20"/>
          <w:szCs w:val="20"/>
        </w:rPr>
        <w:t xml:space="preserve"> North Sea plaice (</w:t>
      </w:r>
      <w:r>
        <w:rPr>
          <w:rFonts w:ascii="Cambria" w:hAnsi="Cambria" w:eastAsia="Times New Roman" w:cs="Times New Roman"/>
          <w:i/>
          <w:iCs/>
          <w:sz w:val="20"/>
          <w:szCs w:val="20"/>
        </w:rPr>
        <w:t xml:space="preserve">Pleuronectes platessa</w:t>
      </w:r>
      <w:r>
        <w:rPr>
          <w:rFonts w:ascii="Cambria" w:hAnsi="Cambria" w:eastAsia="Times New Roman" w:cs="Times New Roman"/>
          <w:sz w:val="20"/>
          <w:szCs w:val="20"/>
        </w:rPr>
        <w:t xml:space="preserve">, ICES area IV), European hake (</w:t>
      </w:r>
      <w:r>
        <w:rPr>
          <w:rFonts w:ascii="Cambria" w:hAnsi="Cambria" w:eastAsia="Times New Roman" w:cs="Times New Roman"/>
          <w:i/>
          <w:iCs/>
          <w:sz w:val="20"/>
          <w:szCs w:val="20"/>
        </w:rPr>
        <w:t xml:space="preserve">Merluccius merluccius</w:t>
      </w:r>
      <w:r>
        <w:rPr>
          <w:rFonts w:ascii="Cambria" w:hAnsi="Cambria" w:eastAsia="Times New Roman" w:cs="Times New Roman"/>
          <w:sz w:val="20"/>
          <w:szCs w:val="20"/>
        </w:rPr>
        <w:t xml:space="preserve">, GFCM GSAs 1, 5, 6, 7), red mullet (</w:t>
      </w:r>
      <w:r>
        <w:rPr>
          <w:rFonts w:ascii="Cambria" w:hAnsi="Cambria" w:eastAsia="Times New Roman" w:cs="Times New Roman"/>
          <w:i/>
          <w:iCs/>
          <w:sz w:val="20"/>
          <w:szCs w:val="20"/>
        </w:rPr>
        <w:t xml:space="preserve">Mullus barbatus</w:t>
      </w:r>
      <w:r>
        <w:rPr>
          <w:rFonts w:ascii="Cambria" w:hAnsi="Cambria" w:eastAsia="Times New Roman" w:cs="Times New Roman"/>
          <w:sz w:val="20"/>
          <w:szCs w:val="20"/>
        </w:rPr>
        <w:t xml:space="preserve">, GFCM GSAs 1 and 9), and North Sea herring (</w:t>
      </w:r>
      <w:r>
        <w:rPr>
          <w:rFonts w:ascii="Cambria" w:hAnsi="Cambria" w:eastAsia="Times New Roman" w:cs="Times New Roman"/>
          <w:i/>
          <w:iCs/>
          <w:sz w:val="20"/>
          <w:szCs w:val="20"/>
        </w:rPr>
        <w:t xml:space="preserve">Clupea harengus</w:t>
      </w:r>
      <w:r>
        <w:rPr>
          <w:rFonts w:ascii="Cambria" w:hAnsi="Cambria" w:eastAsia="Times New Roman" w:cs="Times New Roman"/>
          <w:sz w:val="20"/>
          <w:szCs w:val="20"/>
        </w:rPr>
        <w:t xml:space="preserve">)</w:t>
      </w:r>
      <w:r>
        <w:rPr>
          <w:rFonts w:ascii="Cambria" w:hAnsi="Cambria"/>
          <w:sz w:val="20"/>
          <w:szCs w:val="20"/>
        </w:rPr>
      </w:r>
    </w:p>
    <w:p>
      <w:pPr>
        <w:pStyle w:val="953"/>
        <w:numPr>
          <w:ilvl w:val="0"/>
          <w:numId w:val="3"/>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ICCAT context:</w:t>
      </w:r>
      <w:r>
        <w:rPr>
          <w:rFonts w:ascii="Cambria" w:hAnsi="Cambria" w:eastAsia="Times New Roman" w:cs="Times New Roman"/>
          <w:sz w:val="20"/>
          <w:szCs w:val="20"/>
        </w:rPr>
        <w:t xml:space="preserve"> The a4</w:t>
      </w:r>
      <w:r>
        <w:rPr>
          <w:rFonts w:ascii="Cambria" w:hAnsi="Cambria" w:eastAsia="Times New Roman" w:cs="Times New Roman"/>
          <w:sz w:val="20"/>
          <w:szCs w:val="20"/>
        </w:rPr>
        <w:t xml:space="preserve">a framework has been applied to Mediterranean Swordfish assessment in 2020 (Mantopoulou-Palouka et al., 2020).</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Main Advantages of a4a</w:t>
      </w:r>
      <w:r>
        <w:rPr>
          <w:rFonts w:ascii="Cambria" w:hAnsi="Cambria" w:eastAsia="Times New Roman" w:cs="Times New Roman"/>
          <w:b/>
          <w:b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The main advantages of the a4a framework for application to ICCAT stocks are:</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Flexibility through formula-based submodels:</w:t>
      </w:r>
      <w:r>
        <w:rPr>
          <w:rFonts w:ascii="Cambria" w:hAnsi="Cambria" w:eastAsia="Times New Roman" w:cs="Times New Roman"/>
          <w:sz w:val="20"/>
          <w:szCs w:val="20"/>
        </w:rPr>
        <w:t xml:space="preserve"> all key quantities are specified using standard R formula syntax (including GAMs), enabling a wide range of model structures without requiring hard-coded options.</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Uncertainty quantification:</w:t>
      </w:r>
      <w:r>
        <w:rPr>
          <w:rFonts w:ascii="Cambria" w:hAnsi="Cambria" w:eastAsia="Times New Roman" w:cs="Times New Roman"/>
          <w:sz w:val="20"/>
          <w:szCs w:val="20"/>
        </w:rPr>
        <w:t xml:space="preserve"> parameter uncertainty is fully propagated via MLE with variance-covariance inversion, MCMC (via ADMB), and simulation methods.</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MSE and forecasting ready:</w:t>
      </w:r>
      <w:r>
        <w:rPr>
          <w:rFonts w:ascii="Cambria" w:hAnsi="Cambria" w:eastAsia="Times New Roman" w:cs="Times New Roman"/>
          <w:sz w:val="20"/>
          <w:szCs w:val="20"/>
        </w:rPr>
        <w:t xml:space="preserve"> the framework includes projection tools, harvest control rules (HCR), and a dedicated MP fitting mode optimized for use in Management Strategy Evaluations.</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Comprehensive diagnostics:</w:t>
      </w:r>
      <w:r>
        <w:rPr>
          <w:rFonts w:ascii="Cambria" w:hAnsi="Cambria" w:eastAsia="Times New Roman" w:cs="Times New Roman"/>
          <w:sz w:val="20"/>
          <w:szCs w:val="20"/>
        </w:rPr>
        <w:t xml:space="preserve"> residuals (standardized, Pearson, raw deviances), retrospective analysis (Mohn's rho), hindcast (MASE score), predictive skill plots, and aggregated catch diagnostics are all implemented.</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Scalability:</w:t>
      </w:r>
      <w:r>
        <w:rPr>
          <w:rFonts w:ascii="Cambria" w:hAnsi="Cambria" w:eastAsia="Times New Roman" w:cs="Times New Roman"/>
          <w:sz w:val="20"/>
          <w:szCs w:val="20"/>
        </w:rPr>
        <w:t xml:space="preserve"> a4a was designed to assess large numbers of stocks rapidly, an important feature for ICCAT given the diversity of migratory species under its mandate.</w:t>
      </w:r>
      <w:r>
        <w:rPr>
          <w:rFonts w:ascii="Cambria" w:hAnsi="Cambria"/>
          <w:sz w:val="20"/>
          <w:szCs w:val="20"/>
        </w:rPr>
      </w:r>
    </w:p>
    <w:p>
      <w:pPr>
        <w:pStyle w:val="953"/>
        <w:numPr>
          <w:ilvl w:val="0"/>
          <w:numId w:val="2"/>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Integration with FLR:</w:t>
      </w:r>
      <w:r>
        <w:rPr>
          <w:rFonts w:ascii="Cambria" w:hAnsi="Cambria" w:eastAsia="Times New Roman" w:cs="Times New Roman"/>
          <w:sz w:val="20"/>
          <w:szCs w:val="20"/>
        </w:rPr>
        <w:t xml:space="preserve"> full</w:t>
      </w:r>
      <w:r>
        <w:rPr>
          <w:rFonts w:ascii="Cambria" w:hAnsi="Cambria" w:eastAsia="Times New Roman" w:cs="Times New Roman"/>
          <w:sz w:val="20"/>
          <w:szCs w:val="20"/>
        </w:rPr>
        <w:t xml:space="preserve"> interoperability with the established FLR ecosystem, including `FLCore`, `FLBRP`, `FLasher`, and `a4adiags`.</w:t>
      </w:r>
      <w:r>
        <w:rPr>
          <w:rFonts w:ascii="Cambria" w:hAnsi="Cambria" w:eastAsia="Times New Roman" w:cs="Times New Roman"/>
          <w:sz w:val="20"/>
          <w:szCs w:val="20"/>
        </w:rPr>
      </w:r>
    </w:p>
    <w:p>
      <w:pPr>
        <w:pBdr/>
        <w:spacing w:after="0" w:line="240" w:lineRule="auto"/>
        <w:ind w:left="720"/>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ins w:id="5" w:author=""/>
          <w:rFonts w:ascii="Cambria" w:hAnsi="Cambria" w:eastAsia="Times New Roman" w:cs="Times New Roman"/>
          <w:b/>
          <w:bCs/>
          <w:sz w:val="20"/>
          <w:szCs w:val="20"/>
        </w:rPr>
      </w:pPr>
      <w:r/>
      <w:r>
        <w:rPr>
          <w:rFonts w:ascii="Cambria" w:hAnsi="Cambria"/>
          <w:b/>
          <w:bCs/>
          <w:sz w:val="20"/>
          <w:szCs w:val="20"/>
        </w:rPr>
      </w:r>
      <w:ins w:id="6">
        <w:r>
          <w:rPr>
            <w:rFonts w:ascii="Cambria" w:hAnsi="Cambria" w:eastAsia="Times New Roman" w:cs="Times New Roman"/>
            <w:b/>
            <w:bCs/>
            <w:sz w:val="20"/>
            <w:szCs w:val="20"/>
          </w:rPr>
        </w:r>
      </w:ins>
    </w:p>
    <w:p>
      <w:pPr>
        <w:pBdr/>
        <w:spacing w:after="0" w:line="240" w:lineRule="auto"/>
        <w:ind/>
        <w:jc w:val="both"/>
        <w:rPr>
          <w:ins w:id="7" w:author=""/>
          <w:rFonts w:ascii="Cambria" w:hAnsi="Cambria" w:eastAsia="Times New Roman" w:cs="Times New Roman"/>
          <w:sz w:val="20"/>
          <w:szCs w:val="20"/>
        </w:rPr>
      </w:pPr>
      <w:ins w:id="8">
        <w:r>
          <w:rPr>
            <w:rFonts w:ascii="Cambria" w:hAnsi="Cambria" w:eastAsia="Times New Roman" w:cs="Times New Roman"/>
            <w:sz w:val="20"/>
            <w:szCs w:val="20"/>
          </w:rPr>
        </w:r>
      </w:ins>
      <w:del w:id="9" w:author="Ai Kimoto" w:date="2026-05-19T14:43:00Z">
        <w:r>
          <w:rPr>
            <w:rFonts w:ascii="Cambria" w:hAnsi="Cambria" w:eastAsia="Times New Roman" w:cs="Times New Roman"/>
            <w:sz w:val="20"/>
            <w:szCs w:val="20"/>
          </w:rPr>
        </w:r>
      </w:del>
      <w:ins w:id="10">
        <w:r>
          <w:rPr>
            <w:rFonts w:ascii="Cambria" w:hAnsi="Cambria" w:eastAsia="Times New Roman" w:cs="Times New Roman"/>
            <w:sz w:val="20"/>
            <w:szCs w:val="20"/>
          </w:rPr>
        </w:r>
      </w:ins>
    </w:p>
    <w:p>
      <w:pPr>
        <w:pBdr/>
        <w:spacing w:after="0" w:line="240" w:lineRule="auto"/>
        <w:ind w:firstLine="0" w:left="0"/>
        <w:jc w:val="both"/>
        <w:rPr>
          <w:ins w:id="11" w:author=""/>
          <w:rFonts w:ascii="Cambria" w:hAnsi="Cambria"/>
          <w:sz w:val="20"/>
          <w:szCs w:val="20"/>
        </w:rPr>
      </w:pPr>
      <w:ins w:id="12">
        <w:r>
          <w:rPr>
            <w:rFonts w:ascii="Cambria" w:hAnsi="Cambria"/>
            <w:sz w:val="20"/>
            <w:szCs w:val="20"/>
          </w:rPr>
        </w:r>
      </w:ins>
      <w:del w:id="13" w:author="Ai Kimoto" w:date="2026-05-19T14:31:00Z">
        <w:r>
          <w:rPr>
            <w:rFonts w:ascii="Cambria" w:hAnsi="Cambria"/>
            <w:sz w:val="20"/>
            <w:szCs w:val="20"/>
          </w:rPr>
        </w:r>
      </w:del>
      <w:ins w:id="14">
        <w:r>
          <w:rPr>
            <w:rFonts w:ascii="Cambria" w:hAnsi="Cambria"/>
            <w:sz w:val="20"/>
            <w:szCs w:val="20"/>
          </w:rPr>
        </w:r>
      </w:ins>
      <w:r>
        <w:rPr>
          <w:rFonts w:ascii="Cambria" w:hAnsi="Cambria"/>
          <w:sz w:val="20"/>
          <w:szCs w:val="20"/>
          <w:lang w:val="pt-BR"/>
        </w:rPr>
      </w:r>
      <w:del w:id="15" w:author="Ai Kimoto" w:date="2026-05-19T14:43:00Z">
        <w:r>
          <w:rPr>
            <w:rFonts w:ascii="Cambria" w:hAnsi="Cambria"/>
            <w:sz w:val="20"/>
            <w:szCs w:val="20"/>
          </w:rPr>
        </w:r>
      </w:del>
      <w:r>
        <w:rPr>
          <w:rFonts w:ascii="Cambria" w:hAnsi="Cambria"/>
          <w:sz w:val="20"/>
          <w:szCs w:val="20"/>
          <w:lang w:val="pt-BR"/>
        </w:rPr>
      </w:r>
      <w:ins w:id="16">
        <w:r>
          <w:rPr>
            <w:rFonts w:ascii="Cambria" w:hAnsi="Cambria"/>
            <w:sz w:val="20"/>
            <w:szCs w:val="20"/>
          </w:rPr>
        </w:r>
      </w:ins>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offers a flex</w:t>
      </w:r>
      <w:r>
        <w:rPr>
          <w:rFonts w:ascii="Cambria" w:hAnsi="Cambria" w:eastAsia="Times New Roman" w:cs="Times New Roman"/>
          <w:sz w:val="20"/>
          <w:szCs w:val="20"/>
        </w:rPr>
        <w:t xml:space="preserve">ible, well-documented, and widely applied age-structured stock assessment methodology with full uncertainty propagation and MSE compatibility. Its formula-based submodel structure distinguishes it from other SCA approaches by providing unparalleled flexibi</w:t>
      </w:r>
      <w:r>
        <w:rPr>
          <w:rFonts w:ascii="Cambria" w:hAnsi="Cambria" w:eastAsia="Times New Roman" w:cs="Times New Roman"/>
          <w:sz w:val="20"/>
          <w:szCs w:val="20"/>
        </w:rPr>
        <w:t xml:space="preserve">lity without sacrificing interpretability, making it suitable for the diverse range of species and data situations encountered in ICCAT. The authors recommend ICCAT consider the registration of the a4a methodology (`FLa4a`) in the ICCAT software catalogue.</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b/>
          <w:bCs/>
          <w:sz w:val="20"/>
          <w:szCs w:val="20"/>
        </w:rPr>
      </w:pPr>
      <w:r>
        <w:rPr>
          <w:rFonts w:ascii="Cambria" w:hAnsi="Cambria" w:eastAsia="Times New Roman" w:cs="Times New Roman"/>
          <w:b/>
          <w:bCs/>
          <w:sz w:val="20"/>
          <w:szCs w:val="20"/>
        </w:rPr>
        <w:t xml:space="preserve">References</w:t>
      </w:r>
      <w:r>
        <w:rPr>
          <w:rFonts w:ascii="Cambria" w:hAnsi="Cambria"/>
          <w:b/>
          <w:bCs/>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Anon. 2026. </w:t>
      </w:r>
      <w:r>
        <w:rPr>
          <w:rFonts w:ascii="Cambria" w:hAnsi="Cambria" w:eastAsia="Times New Roman" w:cs="Times New Roman"/>
          <w:sz w:val="20"/>
          <w:szCs w:val="20"/>
        </w:rPr>
        <w:t xml:space="preserve">REPORT OF THE 2026 ICCAT ATLANTIC SWORDFISH DATA PREPARATORY MEETING (Online, March 23 to 27 March 2026)</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Carvalho, F., Winker, H., Courtney, D., Kapur, M., Kell, L.T., Cardinale, M., Schirripa, M., Kitakado, T., and Methot, R. 2021. A cookbook for using model diagnostics in integrat</w:t>
      </w:r>
      <w:r>
        <w:rPr>
          <w:rFonts w:ascii="Cambria" w:hAnsi="Cambria" w:eastAsia="Times New Roman" w:cs="Times New Roman"/>
          <w:sz w:val="20"/>
          <w:szCs w:val="20"/>
        </w:rPr>
        <w:t xml:space="preserve">ed stock assessments. Fisheries Research, 240: 105959.</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Jardim, E., Millar, C.P., Mosqueira, I., Scott, F., Osio, G.C., Ferretti, M., Alzorriz, N., and Orio, A. 2015. What if stock assessment is as simple as a linear model? The a4a initiative. ICES Journal of Marine Science, 72(1): 232–236.</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Gudmundsson, G.</w:t>
      </w:r>
      <w:r>
        <w:rPr>
          <w:rFonts w:ascii="Cambria" w:hAnsi="Cambria" w:eastAsia="Times New Roman" w:cs="Times New Roman"/>
          <w:sz w:val="20"/>
          <w:szCs w:val="20"/>
        </w:rPr>
        <w:t xml:space="preserve"> 1994. </w:t>
      </w:r>
      <w:r>
        <w:rPr>
          <w:rFonts w:ascii="Cambria" w:hAnsi="Cambria" w:eastAsia="Times New Roman" w:cs="Times New Roman"/>
          <w:sz w:val="20"/>
          <w:szCs w:val="20"/>
        </w:rPr>
        <w:t xml:space="preserve">Time-series Analysis of Catch-at-age Observations. Journal of Applied Statistics, 43:117–126. ICES. 2012.</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Kell, L.T., Mosqueira, I., Grosjean, P., Fromentin,</w:t>
      </w:r>
      <w:r>
        <w:rPr>
          <w:rFonts w:ascii="Cambria" w:hAnsi="Cambria" w:eastAsia="Times New Roman" w:cs="Times New Roman"/>
          <w:sz w:val="20"/>
          <w:szCs w:val="20"/>
        </w:rPr>
        <w:t xml:space="preserve"> J.-M., Garcia, D., Hillary, R., Jardim, E., Mardle, S., Pastoors, M.A., Poos, J.J., Scott, F., and Scott, R.D. 2007. FLR: an open-source framework for the evaluation and development of management strategies. ICES Journal of Marine Science, 64(4): 640–646.</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Kell, L.T., Kimoto, A., and Kitakado, T. 2016. Evaluation of the prediction skill of stock assessment using hindcasting. Fisheries Research, 183: 119</w:t>
      </w:r>
      <w:r>
        <w:rPr>
          <w:rFonts w:ascii="Cambria" w:hAnsi="Cambria" w:eastAsia="Times New Roman" w:cs="Times New Roman"/>
          <w:sz w:val="20"/>
          <w:szCs w:val="20"/>
        </w:rPr>
        <w:t xml:space="preserve">–127.</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Mantopoulou-Palouka, D., </w:t>
      </w:r>
      <w:r>
        <w:rPr>
          <w:rFonts w:ascii="Cambria" w:hAnsi="Cambria" w:eastAsia="Times New Roman" w:cs="Times New Roman"/>
          <w:sz w:val="20"/>
          <w:szCs w:val="20"/>
        </w:rPr>
        <w:t xml:space="preserve">and</w:t>
      </w:r>
      <w:r>
        <w:rPr>
          <w:rFonts w:ascii="Cambria" w:hAnsi="Cambria" w:eastAsia="Times New Roman" w:cs="Times New Roman"/>
          <w:sz w:val="20"/>
          <w:szCs w:val="20"/>
        </w:rPr>
        <w:t xml:space="preserve"> Tserpes, G. 2020. Assessment of the Mediterranean swordfish stock by means of Assessment for All. </w:t>
      </w:r>
      <w:r>
        <w:rPr>
          <w:rFonts w:ascii="Cambria" w:hAnsi="Cambria" w:eastAsia="Times New Roman" w:cs="Times New Roman"/>
          <w:sz w:val="20"/>
          <w:szCs w:val="20"/>
        </w:rPr>
        <w:t xml:space="preserve">Col. Vol. Sci. Pap. ICCAT, </w:t>
      </w:r>
      <w:r>
        <w:rPr>
          <w:rFonts w:ascii="Cambria" w:hAnsi="Cambria" w:eastAsia="Times New Roman" w:cs="Times New Roman"/>
          <w:sz w:val="20"/>
          <w:szCs w:val="20"/>
        </w:rPr>
        <w:t xml:space="preserve">77</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3</w:t>
      </w:r>
      <w:r>
        <w:rPr>
          <w:rFonts w:ascii="Cambria" w:hAnsi="Cambria" w:eastAsia="Times New Roman" w:cs="Times New Roman"/>
          <w:sz w:val="20"/>
          <w:szCs w:val="20"/>
        </w:rPr>
        <w:t xml:space="preserve">), SCRS/202</w:t>
      </w:r>
      <w:r>
        <w:rPr>
          <w:rFonts w:ascii="Cambria" w:hAnsi="Cambria" w:eastAsia="Times New Roman" w:cs="Times New Roman"/>
          <w:sz w:val="20"/>
          <w:szCs w:val="20"/>
        </w:rPr>
        <w:t xml:space="preserve">0</w:t>
      </w:r>
      <w:r>
        <w:rPr>
          <w:rFonts w:ascii="Cambria" w:hAnsi="Cambria" w:eastAsia="Times New Roman" w:cs="Times New Roman"/>
          <w:sz w:val="20"/>
          <w:szCs w:val="20"/>
        </w:rPr>
        <w:t xml:space="preserve">/0</w:t>
      </w:r>
      <w:r>
        <w:rPr>
          <w:rFonts w:ascii="Cambria" w:hAnsi="Cambria" w:eastAsia="Times New Roman" w:cs="Times New Roman"/>
          <w:sz w:val="20"/>
          <w:szCs w:val="20"/>
        </w:rPr>
        <w:t xml:space="preserve">78</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482</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507</w:t>
      </w:r>
      <w:r>
        <w:rPr>
          <w:rFonts w:ascii="Cambria" w:hAnsi="Cambria" w:eastAsia="Times New Roman" w:cs="Times New Roman"/>
          <w:sz w:val="20"/>
          <w:szCs w:val="20"/>
        </w:rPr>
        <w:t xml:space="preserve">.</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Millar, C.P., </w:t>
      </w:r>
      <w:r>
        <w:rPr>
          <w:rFonts w:ascii="Cambria" w:hAnsi="Cambria" w:eastAsia="Times New Roman" w:cs="Times New Roman"/>
          <w:sz w:val="20"/>
          <w:szCs w:val="20"/>
          <w:lang w:val="pt-BR"/>
        </w:rPr>
        <w:t xml:space="preserve">Jardim, E., </w:t>
      </w:r>
      <w:r>
        <w:rPr>
          <w:rFonts w:ascii="Cambria" w:hAnsi="Cambria" w:eastAsia="Times New Roman" w:cs="Times New Roman"/>
          <w:sz w:val="20"/>
          <w:szCs w:val="20"/>
        </w:rPr>
        <w:t xml:space="preserve">Mosqueira, I.,</w:t>
      </w:r>
      <w:r>
        <w:rPr>
          <w:rFonts w:ascii="Cambria" w:hAnsi="Cambria" w:eastAsia="Times New Roman" w:cs="Times New Roman"/>
          <w:sz w:val="20"/>
          <w:szCs w:val="20"/>
          <w:lang w:val="pt-BR"/>
        </w:rPr>
        <w:t xml:space="preserve"> and</w:t>
      </w:r>
      <w:r>
        <w:rPr>
          <w:rFonts w:ascii="Cambria" w:hAnsi="Cambria" w:eastAsia="Times New Roman" w:cs="Times New Roman"/>
          <w:sz w:val="20"/>
          <w:szCs w:val="20"/>
        </w:rPr>
        <w:t xml:space="preserve"> Osio</w:t>
      </w:r>
      <w:r>
        <w:rPr>
          <w:rFonts w:ascii="Cambria" w:hAnsi="Cambria" w:eastAsia="Times New Roman" w:cs="Times New Roman"/>
          <w:sz w:val="20"/>
          <w:szCs w:val="20"/>
          <w:lang w:val="pt-BR"/>
        </w:rPr>
        <w:t xml:space="preserve"> C. 201</w:t>
      </w:r>
      <w:r>
        <w:rPr>
          <w:rFonts w:ascii="Cambria" w:hAnsi="Cambria" w:eastAsia="Times New Roman" w:cs="Times New Roman"/>
          <w:sz w:val="20"/>
          <w:szCs w:val="20"/>
          <w:lang w:val="pt-BR"/>
        </w:rPr>
        <w:t xml:space="preserve">2</w:t>
      </w:r>
      <w:r>
        <w:rPr>
          <w:rFonts w:ascii="Cambria" w:hAnsi="Cambria" w:eastAsia="Times New Roman" w:cs="Times New Roman"/>
          <w:sz w:val="20"/>
          <w:szCs w:val="20"/>
          <w:lang w:val="pt-BR"/>
        </w:rPr>
        <w:t xml:space="preserve">. </w:t>
      </w:r>
      <w:r>
        <w:rPr>
          <w:rFonts w:ascii="Cambria" w:hAnsi="Cambria" w:eastAsia="Times New Roman" w:cs="Times New Roman"/>
          <w:sz w:val="20"/>
          <w:szCs w:val="20"/>
          <w:lang w:val="pt-BR"/>
        </w:rPr>
        <w:t xml:space="preserve">The a4a Assessment Model - Model description and testing</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EUR 25661 EN. Luxembourg (Luxembourg): Publications Office of the European Union; 2012. JRC77496</w:t>
      </w:r>
      <w:r>
        <w:rPr>
          <w:rFonts w:ascii="Cambria" w:hAnsi="Cambria" w:eastAsia="Times New Roman" w:cs="Times New Roman"/>
          <w:sz w:val="20"/>
          <w:szCs w:val="20"/>
        </w:rPr>
        <w:t xml:space="preserve">.</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Mosqueira, I. and Winker, H. 2025. a4adiags: Diagnostics for FLa4a stock assessment models. R package. </w:t>
      </w:r>
      <w:hyperlink r:id="rId12" w:tooltip="https://github.com/flr/a4adiags" w:history="1">
        <w:r>
          <w:rPr>
            <w:rStyle w:val="939"/>
            <w:rFonts w:ascii="Cambria" w:hAnsi="Cambria"/>
            <w:sz w:val="20"/>
            <w:szCs w:val="20"/>
          </w:rPr>
          <w:t xml:space="preserve">https://github.com/flr/a4adiags</w:t>
        </w:r>
      </w:hyperlink>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Nielsen A., Berg C. W. 2014. Estimation of time-varying selectivity in stock assessments using state-space models. Fisheries Research, 158: 96–101.</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Shepherd, J. G. 1999. Extended survivor analysis: an improved method for the analysis of catchat-age data and abundance indices. ICES Journal of Marine Science 56: 584-59.</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Punt, A.E., Butterworth, D.S., de Moor, C.L., De Oliveira, J.A.A., and Haddon, M. 2016. Management strategy evaluation: best practices. Fish and Fisheries, 17(2): 303–334.</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sectPr>
      <w:headerReference w:type="first" r:id="rId9"/>
      <w:footnotePr/>
      <w:endnotePr/>
      <w:type w:val="nextPage"/>
      <w:pgSz w:h="15840" w:orient="portrait" w:w="12240"/>
      <w:pgMar w:top="1411" w:right="1411" w:bottom="1411" w:left="141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ambria">
    <w:panose1 w:val="0204050305040603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933"/>
        <w:pBdr/>
        <w:spacing/>
        <w:ind/>
        <w:rPr>
          <w:rFonts w:ascii="Cambria" w:hAnsi="Cambria"/>
          <w:sz w:val="16"/>
          <w:szCs w:val="16"/>
          <w:lang w:val="pt-BR"/>
        </w:rPr>
      </w:pPr>
      <w:r>
        <w:rPr>
          <w:rStyle w:val="935"/>
          <w:rFonts w:ascii="Cambria" w:hAnsi="Cambria"/>
          <w:sz w:val="16"/>
          <w:szCs w:val="16"/>
        </w:rPr>
        <w:footnoteRef/>
      </w:r>
      <w:r>
        <w:rPr>
          <w:rFonts w:ascii="Cambria" w:hAnsi="Cambria"/>
          <w:sz w:val="16"/>
          <w:szCs w:val="16"/>
          <w:lang w:val="pt-BR"/>
        </w:rPr>
        <w:t xml:space="preserve"> </w:t>
      </w:r>
      <w:r>
        <w:rPr>
          <w:rFonts w:ascii="Cambria" w:hAnsi="Cambria"/>
          <w:sz w:val="16"/>
          <w:szCs w:val="16"/>
          <w:lang w:val="pt-BR"/>
        </w:rPr>
        <w:t xml:space="preserve">Instituto Português do Mar e Atmosfera (IPMA), Lisbon, Portugal</w:t>
      </w:r>
      <w:r>
        <w:rPr>
          <w:rFonts w:ascii="Cambria" w:hAnsi="Cambria"/>
          <w:sz w:val="16"/>
          <w:szCs w:val="16"/>
          <w:lang w:val="pt-BR"/>
        </w:rPr>
        <w:t xml:space="preserve"> </w:t>
      </w:r>
      <w:r>
        <w:rPr>
          <w:rFonts w:ascii="Cambria" w:hAnsi="Cambria"/>
          <w:sz w:val="16"/>
          <w:szCs w:val="16"/>
          <w:lang w:val="pt-BR"/>
        </w:rPr>
      </w:r>
    </w:p>
  </w:footnote>
  <w:footnote w:id="3">
    <w:p>
      <w:pPr>
        <w:pStyle w:val="933"/>
        <w:pBdr/>
        <w:spacing/>
        <w:ind/>
        <w:rPr>
          <w:rFonts w:ascii="Cambria" w:hAnsi="Cambria"/>
          <w:sz w:val="16"/>
          <w:szCs w:val="16"/>
        </w:rPr>
      </w:pPr>
      <w:r>
        <w:rPr>
          <w:rStyle w:val="935"/>
          <w:rFonts w:ascii="Cambria" w:hAnsi="Cambria"/>
          <w:sz w:val="16"/>
          <w:szCs w:val="16"/>
        </w:rPr>
        <w:footnoteRef/>
      </w:r>
      <w:r>
        <w:rPr>
          <w:rFonts w:ascii="Cambria" w:hAnsi="Cambria"/>
          <w:sz w:val="16"/>
          <w:szCs w:val="16"/>
        </w:rPr>
        <w:t xml:space="preserve"> </w:t>
      </w:r>
      <w:r>
        <w:rPr>
          <w:rFonts w:ascii="Cambria" w:hAnsi="Cambria"/>
          <w:sz w:val="16"/>
          <w:szCs w:val="16"/>
        </w:rPr>
        <w:t xml:space="preserve">European Commission Joint Research Centre (JRC), Ispra, Italy</w:t>
      </w:r>
      <w:r>
        <w:rPr>
          <w:rFonts w:ascii="Cambria" w:hAnsi="Cambria"/>
          <w:sz w:val="16"/>
          <w:szCs w:val="16"/>
        </w:rPr>
        <w:t xml:space="preserve"> </w:t>
      </w:r>
      <w:r>
        <w:rPr>
          <w:rFonts w:ascii="Cambria" w:hAnsi="Cambria"/>
          <w:sz w:val="16"/>
          <w:szCs w:val="16"/>
        </w:rPr>
      </w:r>
    </w:p>
  </w:footnote>
  <w:footnote w:id="4">
    <w:p>
      <w:pPr>
        <w:pStyle w:val="933"/>
        <w:pBdr/>
        <w:spacing/>
        <w:ind/>
        <w:rPr>
          <w:rFonts w:ascii="Cambria" w:hAnsi="Cambria"/>
          <w:sz w:val="16"/>
          <w:szCs w:val="16"/>
        </w:rPr>
      </w:pPr>
      <w:r>
        <w:rPr>
          <w:rStyle w:val="935"/>
          <w:rFonts w:ascii="Cambria" w:hAnsi="Cambria"/>
          <w:sz w:val="16"/>
          <w:szCs w:val="16"/>
        </w:rPr>
        <w:footnoteRef/>
      </w:r>
      <w:r>
        <w:rPr>
          <w:rFonts w:ascii="Cambria" w:hAnsi="Cambria"/>
          <w:sz w:val="16"/>
          <w:szCs w:val="16"/>
        </w:rPr>
        <w:t xml:space="preserve"> </w:t>
      </w:r>
      <w:r>
        <w:rPr>
          <w:rFonts w:ascii="Cambria" w:hAnsi="Cambria"/>
          <w:sz w:val="16"/>
          <w:szCs w:val="16"/>
        </w:rPr>
        <w:t xml:space="preserve">Hellenic Centre for Marine Research, Institute of Marine Biological Resources and Inland Waters, 71003 Heraklion, Greece</w:t>
      </w:r>
      <w:r>
        <w:rPr>
          <w:rFonts w:ascii="Cambria" w:hAnsi="Cambria"/>
          <w:sz w:val="16"/>
          <w:szCs w:val="16"/>
        </w:rPr>
        <w:t xml:space="preserve"> </w:t>
      </w:r>
      <w:r>
        <w:rPr>
          <w:rFonts w:ascii="Cambria" w:hAnsi="Cambria"/>
          <w:sz w:val="16"/>
          <w:szCs w:val="16"/>
        </w:rPr>
      </w:r>
    </w:p>
  </w:footnote>
  <w:footnote w:id="5">
    <w:p>
      <w:pPr>
        <w:pStyle w:val="933"/>
        <w:pBdr/>
        <w:spacing/>
        <w:ind/>
        <w:rPr/>
      </w:pPr>
      <w:r>
        <w:rPr>
          <w:rStyle w:val="935"/>
          <w:rFonts w:ascii="Cambria" w:hAnsi="Cambria"/>
          <w:sz w:val="16"/>
          <w:szCs w:val="16"/>
        </w:rPr>
        <w:footnoteRef/>
      </w:r>
      <w:r>
        <w:rPr>
          <w:rFonts w:ascii="Cambria" w:hAnsi="Cambria"/>
          <w:sz w:val="16"/>
          <w:szCs w:val="16"/>
        </w:rPr>
        <w:t xml:space="preserve"> ICCAT Secretariat</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8"/>
      <w:pBdr/>
      <w:spacing/>
      <w:ind/>
      <w:rPr/>
    </w:pPr>
    <w:r>
      <w:rPr>
        <w:sz w:val="20"/>
        <w:szCs w:val="20"/>
      </w:rPr>
      <w:t xml:space="preserve">SCRS/2026/</w:t>
    </w:r>
    <w:r>
      <w:rPr>
        <w:sz w:val="20"/>
        <w:szCs w:val="20"/>
      </w:rPr>
      <w:t xml:space="preserve">131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7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65" w:default="1">
    <w:name w:val="Normal"/>
    <w:qFormat/>
    <w:pPr>
      <w:pBdr/>
      <w:spacing/>
      <w:ind/>
    </w:pPr>
  </w:style>
  <w:style w:type="paragraph" w:styleId="766">
    <w:name w:val="Heading 1"/>
    <w:basedOn w:val="765"/>
    <w:next w:val="765"/>
    <w:link w:val="904"/>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67">
    <w:name w:val="Heading 2"/>
    <w:basedOn w:val="765"/>
    <w:next w:val="765"/>
    <w:link w:val="905"/>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68">
    <w:name w:val="Heading 3"/>
    <w:basedOn w:val="765"/>
    <w:next w:val="765"/>
    <w:link w:val="906"/>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69">
    <w:name w:val="Heading 4"/>
    <w:basedOn w:val="765"/>
    <w:next w:val="765"/>
    <w:link w:val="907"/>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70">
    <w:name w:val="Heading 5"/>
    <w:basedOn w:val="765"/>
    <w:next w:val="765"/>
    <w:link w:val="908"/>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71">
    <w:name w:val="Heading 6"/>
    <w:basedOn w:val="765"/>
    <w:next w:val="765"/>
    <w:link w:val="90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72">
    <w:name w:val="Heading 7"/>
    <w:basedOn w:val="765"/>
    <w:next w:val="765"/>
    <w:link w:val="91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73">
    <w:name w:val="Heading 8"/>
    <w:basedOn w:val="765"/>
    <w:next w:val="765"/>
    <w:link w:val="91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74">
    <w:name w:val="Heading 9"/>
    <w:basedOn w:val="765"/>
    <w:next w:val="765"/>
    <w:link w:val="91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75" w:default="1">
    <w:name w:val="Default Paragraph Font"/>
    <w:uiPriority w:val="1"/>
    <w:unhideWhenUsed/>
    <w:pPr>
      <w:pBdr/>
      <w:spacing/>
      <w:ind/>
    </w:pPr>
  </w:style>
  <w:style w:type="table" w:styleId="77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7" w:default="1">
    <w:name w:val="No List"/>
    <w:uiPriority w:val="99"/>
    <w:semiHidden/>
    <w:unhideWhenUsed/>
    <w:pPr>
      <w:pBdr/>
      <w:spacing/>
      <w:ind/>
    </w:pPr>
  </w:style>
  <w:style w:type="table" w:styleId="778">
    <w:name w:val="Table Grid"/>
    <w:basedOn w:val="77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Light"/>
    <w:basedOn w:val="77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1"/>
    <w:basedOn w:val="77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2"/>
    <w:basedOn w:val="776"/>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3"/>
    <w:basedOn w:val="77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4"/>
    <w:basedOn w:val="77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5"/>
    <w:basedOn w:val="77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w:basedOn w:val="776"/>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Accent 1"/>
    <w:basedOn w:val="776"/>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Accent 2"/>
    <w:basedOn w:val="77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Accent 3"/>
    <w:basedOn w:val="77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Accent 4"/>
    <w:basedOn w:val="77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Accent 5"/>
    <w:basedOn w:val="776"/>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Accent 6"/>
    <w:basedOn w:val="77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w:basedOn w:val="77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Accent 1"/>
    <w:basedOn w:val="776"/>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Accent 2"/>
    <w:basedOn w:val="77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Accent 3"/>
    <w:basedOn w:val="77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Accent 4"/>
    <w:basedOn w:val="77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Accent 5"/>
    <w:basedOn w:val="776"/>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Accent 6"/>
    <w:basedOn w:val="77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w:basedOn w:val="77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Accent 1"/>
    <w:basedOn w:val="776"/>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Accent 2"/>
    <w:basedOn w:val="77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Accent 3"/>
    <w:basedOn w:val="77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Accent 4"/>
    <w:basedOn w:val="77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Accent 5"/>
    <w:basedOn w:val="776"/>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Accent 6"/>
    <w:basedOn w:val="77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w:basedOn w:val="776"/>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Accent 1"/>
    <w:basedOn w:val="776"/>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Accent 2"/>
    <w:basedOn w:val="776"/>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Accent 3"/>
    <w:basedOn w:val="776"/>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Accent 4"/>
    <w:basedOn w:val="776"/>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Accent 5"/>
    <w:basedOn w:val="776"/>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Accent 6"/>
    <w:basedOn w:val="776"/>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5 Dark- Accent 1"/>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2"/>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3"/>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5 Dark- Accent 4"/>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Accent 5"/>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Accent 6"/>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6 Colorful"/>
    <w:basedOn w:val="776"/>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6 Colorful Accent 1"/>
    <w:basedOn w:val="776"/>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6 Colorful Accent 2"/>
    <w:basedOn w:val="77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Accent 3"/>
    <w:basedOn w:val="776"/>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6 Colorful Accent 4"/>
    <w:basedOn w:val="77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6 Colorful Accent 5"/>
    <w:basedOn w:val="776"/>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6 Colorful Accent 6"/>
    <w:basedOn w:val="776"/>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w:basedOn w:val="776"/>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Accent 1"/>
    <w:basedOn w:val="776"/>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Accent 2"/>
    <w:basedOn w:val="776"/>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Accent 3"/>
    <w:basedOn w:val="776"/>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Accent 4"/>
    <w:basedOn w:val="776"/>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Accent 5"/>
    <w:basedOn w:val="776"/>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Accent 6"/>
    <w:basedOn w:val="776"/>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Accent 1"/>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Accent 2"/>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Accent 3"/>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Accent 4"/>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Accent 5"/>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Accent 6"/>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w:basedOn w:val="776"/>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Accent 1"/>
    <w:basedOn w:val="776"/>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Accent 2"/>
    <w:basedOn w:val="776"/>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Accent 3"/>
    <w:basedOn w:val="776"/>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Accent 4"/>
    <w:basedOn w:val="776"/>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Accent 5"/>
    <w:basedOn w:val="776"/>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Accent 6"/>
    <w:basedOn w:val="776"/>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w:basedOn w:val="77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Accent 1"/>
    <w:basedOn w:val="776"/>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Accent 2"/>
    <w:basedOn w:val="77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Accent 3"/>
    <w:basedOn w:val="776"/>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Accent 4"/>
    <w:basedOn w:val="77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Accent 5"/>
    <w:basedOn w:val="776"/>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Accent 6"/>
    <w:basedOn w:val="776"/>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w:basedOn w:val="77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Accent 1"/>
    <w:basedOn w:val="776"/>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Accent 2"/>
    <w:basedOn w:val="776"/>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Accent 3"/>
    <w:basedOn w:val="776"/>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Accent 4"/>
    <w:basedOn w:val="776"/>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Accent 5"/>
    <w:basedOn w:val="776"/>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Accent 6"/>
    <w:basedOn w:val="776"/>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5 Dark"/>
    <w:basedOn w:val="776"/>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5 Dark Accent 1"/>
    <w:basedOn w:val="776"/>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5 Dark Accent 2"/>
    <w:basedOn w:val="776"/>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Accent 3"/>
    <w:basedOn w:val="776"/>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Accent 4"/>
    <w:basedOn w:val="776"/>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5 Dark Accent 5"/>
    <w:basedOn w:val="776"/>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5 Dark Accent 6"/>
    <w:basedOn w:val="776"/>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w:basedOn w:val="776"/>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Accent 1"/>
    <w:basedOn w:val="776"/>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Accent 2"/>
    <w:basedOn w:val="776"/>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Accent 3"/>
    <w:basedOn w:val="776"/>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Accent 4"/>
    <w:basedOn w:val="776"/>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Accent 5"/>
    <w:basedOn w:val="776"/>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Accent 6"/>
    <w:basedOn w:val="776"/>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7 Colorful"/>
    <w:basedOn w:val="776"/>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7 Colorful Accent 1"/>
    <w:basedOn w:val="776"/>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Accent 2"/>
    <w:basedOn w:val="776"/>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Accent 3"/>
    <w:basedOn w:val="776"/>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7 Colorful Accent 4"/>
    <w:basedOn w:val="776"/>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7 Colorful Accent 5"/>
    <w:basedOn w:val="776"/>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7 Colorful Accent 6"/>
    <w:basedOn w:val="776"/>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ned - Accent"/>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1"/>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ned - Accent 2"/>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ned - Accent 3"/>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ned - Accent 4"/>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5"/>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ned - Accent 6"/>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amp; Lined - Accent"/>
    <w:basedOn w:val="776"/>
    <w:uiPriority w:val="99"/>
    <w:pPr>
      <w:pBdr/>
      <w:spacing w:after="0" w:line="240" w:lineRule="auto"/>
      <w:ind/>
    </w:pPr>
    <w:rPr>
      <w:color w:val="404040"/>
      <w:sz w:val="20"/>
      <w:szCs w:val="20"/>
      <w:lang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1"/>
    <w:basedOn w:val="776"/>
    <w:uiPriority w:val="99"/>
    <w:pPr>
      <w:pBdr/>
      <w:spacing w:after="0" w:line="240" w:lineRule="auto"/>
      <w:ind/>
    </w:pPr>
    <w:rPr>
      <w:color w:val="404040"/>
      <w:sz w:val="20"/>
      <w:szCs w:val="20"/>
      <w:lang w:eastAsia="ja-JP"/>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amp; Lined - Accent 2"/>
    <w:basedOn w:val="776"/>
    <w:uiPriority w:val="99"/>
    <w:pPr>
      <w:pBdr/>
      <w:spacing w:after="0" w:line="240" w:lineRule="auto"/>
      <w:ind/>
    </w:pPr>
    <w:rPr>
      <w:color w:val="404040"/>
      <w:sz w:val="20"/>
      <w:szCs w:val="20"/>
      <w:lang w:eastAsia="ja-JP"/>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amp; Lined - Accent 3"/>
    <w:basedOn w:val="776"/>
    <w:uiPriority w:val="99"/>
    <w:pPr>
      <w:pBdr/>
      <w:spacing w:after="0" w:line="240" w:lineRule="auto"/>
      <w:ind/>
    </w:pPr>
    <w:rPr>
      <w:color w:val="404040"/>
      <w:sz w:val="20"/>
      <w:szCs w:val="20"/>
      <w:lang w:eastAsia="ja-JP"/>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amp; Lined - Accent 4"/>
    <w:basedOn w:val="776"/>
    <w:uiPriority w:val="99"/>
    <w:pPr>
      <w:pBdr/>
      <w:spacing w:after="0" w:line="240" w:lineRule="auto"/>
      <w:ind/>
    </w:pPr>
    <w:rPr>
      <w:color w:val="404040"/>
      <w:sz w:val="20"/>
      <w:szCs w:val="20"/>
      <w:lang w:eastAsia="ja-JP"/>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5"/>
    <w:basedOn w:val="776"/>
    <w:uiPriority w:val="99"/>
    <w:pPr>
      <w:pBdr/>
      <w:spacing w:after="0" w:line="240" w:lineRule="auto"/>
      <w:ind/>
    </w:pPr>
    <w:rPr>
      <w:color w:val="404040"/>
      <w:sz w:val="20"/>
      <w:szCs w:val="20"/>
      <w:lang w:eastAsia="ja-JP"/>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amp; Lined - Accent 6"/>
    <w:basedOn w:val="776"/>
    <w:uiPriority w:val="99"/>
    <w:pPr>
      <w:pBdr/>
      <w:spacing w:after="0" w:line="240" w:lineRule="auto"/>
      <w:ind/>
    </w:pPr>
    <w:rPr>
      <w:color w:val="404040"/>
      <w:sz w:val="20"/>
      <w:szCs w:val="20"/>
      <w:lang w:eastAsia="ja-JP"/>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w:basedOn w:val="776"/>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 Accent 1"/>
    <w:basedOn w:val="776"/>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 Accent 2"/>
    <w:basedOn w:val="77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 Accent 3"/>
    <w:basedOn w:val="77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 Accent 4"/>
    <w:basedOn w:val="77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 Accent 5"/>
    <w:basedOn w:val="776"/>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 Accent 6"/>
    <w:basedOn w:val="77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4" w:customStyle="1">
    <w:name w:val="Heading 1 Char"/>
    <w:basedOn w:val="775"/>
    <w:link w:val="766"/>
    <w:uiPriority w:val="9"/>
    <w:pPr>
      <w:pBdr/>
      <w:spacing/>
      <w:ind/>
    </w:pPr>
    <w:rPr>
      <w:rFonts w:ascii="Arial" w:hAnsi="Arial" w:eastAsia="Arial" w:cs="Arial"/>
      <w:color w:val="2e74b5" w:themeColor="accent1" w:themeShade="BF"/>
      <w:sz w:val="40"/>
      <w:szCs w:val="40"/>
    </w:rPr>
  </w:style>
  <w:style w:type="character" w:styleId="905" w:customStyle="1">
    <w:name w:val="Heading 2 Char"/>
    <w:basedOn w:val="775"/>
    <w:link w:val="767"/>
    <w:uiPriority w:val="9"/>
    <w:pPr>
      <w:pBdr/>
      <w:spacing/>
      <w:ind/>
    </w:pPr>
    <w:rPr>
      <w:rFonts w:ascii="Arial" w:hAnsi="Arial" w:eastAsia="Arial" w:cs="Arial"/>
      <w:color w:val="2e74b5" w:themeColor="accent1" w:themeShade="BF"/>
      <w:sz w:val="32"/>
      <w:szCs w:val="32"/>
    </w:rPr>
  </w:style>
  <w:style w:type="character" w:styleId="906" w:customStyle="1">
    <w:name w:val="Heading 3 Char"/>
    <w:basedOn w:val="775"/>
    <w:link w:val="768"/>
    <w:uiPriority w:val="9"/>
    <w:pPr>
      <w:pBdr/>
      <w:spacing/>
      <w:ind/>
    </w:pPr>
    <w:rPr>
      <w:rFonts w:ascii="Arial" w:hAnsi="Arial" w:eastAsia="Arial" w:cs="Arial"/>
      <w:color w:val="2e74b5" w:themeColor="accent1" w:themeShade="BF"/>
      <w:sz w:val="28"/>
      <w:szCs w:val="28"/>
    </w:rPr>
  </w:style>
  <w:style w:type="character" w:styleId="907" w:customStyle="1">
    <w:name w:val="Heading 4 Char"/>
    <w:basedOn w:val="775"/>
    <w:link w:val="769"/>
    <w:uiPriority w:val="9"/>
    <w:pPr>
      <w:pBdr/>
      <w:spacing/>
      <w:ind/>
    </w:pPr>
    <w:rPr>
      <w:rFonts w:ascii="Arial" w:hAnsi="Arial" w:eastAsia="Arial" w:cs="Arial"/>
      <w:i/>
      <w:iCs/>
      <w:color w:val="2e74b5" w:themeColor="accent1" w:themeShade="BF"/>
    </w:rPr>
  </w:style>
  <w:style w:type="character" w:styleId="908" w:customStyle="1">
    <w:name w:val="Heading 5 Char"/>
    <w:basedOn w:val="775"/>
    <w:link w:val="770"/>
    <w:uiPriority w:val="9"/>
    <w:pPr>
      <w:pBdr/>
      <w:spacing/>
      <w:ind/>
    </w:pPr>
    <w:rPr>
      <w:rFonts w:ascii="Arial" w:hAnsi="Arial" w:eastAsia="Arial" w:cs="Arial"/>
      <w:color w:val="2e74b5" w:themeColor="accent1" w:themeShade="BF"/>
    </w:rPr>
  </w:style>
  <w:style w:type="character" w:styleId="909" w:customStyle="1">
    <w:name w:val="Heading 6 Char"/>
    <w:basedOn w:val="775"/>
    <w:link w:val="771"/>
    <w:uiPriority w:val="9"/>
    <w:pPr>
      <w:pBdr/>
      <w:spacing/>
      <w:ind/>
    </w:pPr>
    <w:rPr>
      <w:rFonts w:ascii="Arial" w:hAnsi="Arial" w:eastAsia="Arial" w:cs="Arial"/>
      <w:i/>
      <w:iCs/>
      <w:color w:val="595959" w:themeColor="text1" w:themeTint="A6"/>
    </w:rPr>
  </w:style>
  <w:style w:type="character" w:styleId="910" w:customStyle="1">
    <w:name w:val="Heading 7 Char"/>
    <w:basedOn w:val="775"/>
    <w:link w:val="772"/>
    <w:uiPriority w:val="9"/>
    <w:pPr>
      <w:pBdr/>
      <w:spacing/>
      <w:ind/>
    </w:pPr>
    <w:rPr>
      <w:rFonts w:ascii="Arial" w:hAnsi="Arial" w:eastAsia="Arial" w:cs="Arial"/>
      <w:color w:val="595959" w:themeColor="text1" w:themeTint="A6"/>
    </w:rPr>
  </w:style>
  <w:style w:type="character" w:styleId="911" w:customStyle="1">
    <w:name w:val="Heading 8 Char"/>
    <w:basedOn w:val="775"/>
    <w:link w:val="773"/>
    <w:uiPriority w:val="9"/>
    <w:pPr>
      <w:pBdr/>
      <w:spacing/>
      <w:ind/>
    </w:pPr>
    <w:rPr>
      <w:rFonts w:ascii="Arial" w:hAnsi="Arial" w:eastAsia="Arial" w:cs="Arial"/>
      <w:i/>
      <w:iCs/>
      <w:color w:val="272727" w:themeColor="text1" w:themeTint="D8"/>
    </w:rPr>
  </w:style>
  <w:style w:type="character" w:styleId="912" w:customStyle="1">
    <w:name w:val="Heading 9 Char"/>
    <w:basedOn w:val="775"/>
    <w:link w:val="774"/>
    <w:uiPriority w:val="9"/>
    <w:pPr>
      <w:pBdr/>
      <w:spacing/>
      <w:ind/>
    </w:pPr>
    <w:rPr>
      <w:rFonts w:ascii="Arial" w:hAnsi="Arial" w:eastAsia="Arial" w:cs="Arial"/>
      <w:i/>
      <w:iCs/>
      <w:color w:val="272727" w:themeColor="text1" w:themeTint="D8"/>
    </w:rPr>
  </w:style>
  <w:style w:type="paragraph" w:styleId="913">
    <w:name w:val="Title"/>
    <w:basedOn w:val="765"/>
    <w:next w:val="765"/>
    <w:link w:val="914"/>
    <w:uiPriority w:val="10"/>
    <w:qFormat/>
    <w:pPr>
      <w:pBdr/>
      <w:spacing w:after="80" w:line="240" w:lineRule="auto"/>
      <w:ind/>
      <w:contextualSpacing w:val="true"/>
    </w:pPr>
    <w:rPr>
      <w:rFonts w:ascii="Arial" w:hAnsi="Arial" w:eastAsia="Arial" w:cs="Arial"/>
      <w:spacing w:val="-10"/>
      <w:sz w:val="56"/>
      <w:szCs w:val="56"/>
    </w:rPr>
  </w:style>
  <w:style w:type="character" w:styleId="914" w:customStyle="1">
    <w:name w:val="Title Char"/>
    <w:basedOn w:val="775"/>
    <w:link w:val="913"/>
    <w:uiPriority w:val="10"/>
    <w:pPr>
      <w:pBdr/>
      <w:spacing/>
      <w:ind/>
    </w:pPr>
    <w:rPr>
      <w:rFonts w:ascii="Arial" w:hAnsi="Arial" w:eastAsia="Arial" w:cs="Arial"/>
      <w:spacing w:val="-10"/>
      <w:sz w:val="56"/>
      <w:szCs w:val="56"/>
    </w:rPr>
  </w:style>
  <w:style w:type="paragraph" w:styleId="915">
    <w:name w:val="Subtitle"/>
    <w:basedOn w:val="765"/>
    <w:next w:val="765"/>
    <w:link w:val="916"/>
    <w:uiPriority w:val="11"/>
    <w:qFormat/>
    <w:pPr>
      <w:numPr>
        <w:ilvl w:val="1"/>
      </w:numPr>
      <w:pBdr/>
      <w:spacing/>
      <w:ind/>
    </w:pPr>
    <w:rPr>
      <w:color w:val="595959" w:themeColor="text1" w:themeTint="A6"/>
      <w:spacing w:val="15"/>
      <w:sz w:val="28"/>
      <w:szCs w:val="28"/>
    </w:rPr>
  </w:style>
  <w:style w:type="character" w:styleId="916" w:customStyle="1">
    <w:name w:val="Subtitle Char"/>
    <w:basedOn w:val="775"/>
    <w:link w:val="915"/>
    <w:uiPriority w:val="11"/>
    <w:pPr>
      <w:pBdr/>
      <w:spacing/>
      <w:ind/>
    </w:pPr>
    <w:rPr>
      <w:color w:val="595959" w:themeColor="text1" w:themeTint="A6"/>
      <w:spacing w:val="15"/>
      <w:sz w:val="28"/>
      <w:szCs w:val="28"/>
    </w:rPr>
  </w:style>
  <w:style w:type="paragraph" w:styleId="917">
    <w:name w:val="Quote"/>
    <w:basedOn w:val="765"/>
    <w:next w:val="765"/>
    <w:link w:val="918"/>
    <w:uiPriority w:val="29"/>
    <w:qFormat/>
    <w:pPr>
      <w:pBdr/>
      <w:spacing w:before="160"/>
      <w:ind/>
      <w:jc w:val="center"/>
    </w:pPr>
    <w:rPr>
      <w:i/>
      <w:iCs/>
      <w:color w:val="404040" w:themeColor="text1" w:themeTint="BF"/>
    </w:rPr>
  </w:style>
  <w:style w:type="character" w:styleId="918" w:customStyle="1">
    <w:name w:val="Quote Char"/>
    <w:basedOn w:val="775"/>
    <w:link w:val="917"/>
    <w:uiPriority w:val="29"/>
    <w:pPr>
      <w:pBdr/>
      <w:spacing/>
      <w:ind/>
    </w:pPr>
    <w:rPr>
      <w:i/>
      <w:iCs/>
      <w:color w:val="404040" w:themeColor="text1" w:themeTint="BF"/>
    </w:rPr>
  </w:style>
  <w:style w:type="character" w:styleId="919">
    <w:name w:val="Intense Emphasis"/>
    <w:basedOn w:val="775"/>
    <w:uiPriority w:val="21"/>
    <w:qFormat/>
    <w:pPr>
      <w:pBdr/>
      <w:spacing/>
      <w:ind/>
    </w:pPr>
    <w:rPr>
      <w:i/>
      <w:iCs/>
      <w:color w:val="2e74b5" w:themeColor="accent1" w:themeShade="BF"/>
    </w:rPr>
  </w:style>
  <w:style w:type="paragraph" w:styleId="920">
    <w:name w:val="Intense Quote"/>
    <w:basedOn w:val="765"/>
    <w:next w:val="765"/>
    <w:link w:val="921"/>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21" w:customStyle="1">
    <w:name w:val="Intense Quote Char"/>
    <w:basedOn w:val="775"/>
    <w:link w:val="920"/>
    <w:uiPriority w:val="30"/>
    <w:pPr>
      <w:pBdr/>
      <w:spacing/>
      <w:ind/>
    </w:pPr>
    <w:rPr>
      <w:i/>
      <w:iCs/>
      <w:color w:val="2e74b5" w:themeColor="accent1" w:themeShade="BF"/>
    </w:rPr>
  </w:style>
  <w:style w:type="character" w:styleId="922">
    <w:name w:val="Intense Reference"/>
    <w:basedOn w:val="775"/>
    <w:uiPriority w:val="32"/>
    <w:qFormat/>
    <w:pPr>
      <w:pBdr/>
      <w:spacing/>
      <w:ind/>
    </w:pPr>
    <w:rPr>
      <w:b/>
      <w:bCs/>
      <w:smallCaps/>
      <w:color w:val="2e74b5" w:themeColor="accent1" w:themeShade="BF"/>
      <w:spacing w:val="5"/>
    </w:rPr>
  </w:style>
  <w:style w:type="character" w:styleId="923">
    <w:name w:val="Subtle Emphasis"/>
    <w:basedOn w:val="775"/>
    <w:uiPriority w:val="19"/>
    <w:qFormat/>
    <w:pPr>
      <w:pBdr/>
      <w:spacing/>
      <w:ind/>
    </w:pPr>
    <w:rPr>
      <w:i/>
      <w:iCs/>
      <w:color w:val="404040" w:themeColor="text1" w:themeTint="BF"/>
    </w:rPr>
  </w:style>
  <w:style w:type="character" w:styleId="924">
    <w:name w:val="Emphasis"/>
    <w:basedOn w:val="775"/>
    <w:uiPriority w:val="20"/>
    <w:qFormat/>
    <w:pPr>
      <w:pBdr/>
      <w:spacing/>
      <w:ind/>
    </w:pPr>
    <w:rPr>
      <w:i/>
      <w:iCs/>
    </w:rPr>
  </w:style>
  <w:style w:type="character" w:styleId="925">
    <w:name w:val="Strong"/>
    <w:basedOn w:val="775"/>
    <w:uiPriority w:val="22"/>
    <w:qFormat/>
    <w:pPr>
      <w:pBdr/>
      <w:spacing/>
      <w:ind/>
    </w:pPr>
    <w:rPr>
      <w:b/>
      <w:bCs/>
    </w:rPr>
  </w:style>
  <w:style w:type="character" w:styleId="926">
    <w:name w:val="Subtle Reference"/>
    <w:basedOn w:val="775"/>
    <w:uiPriority w:val="31"/>
    <w:qFormat/>
    <w:pPr>
      <w:pBdr/>
      <w:spacing/>
      <w:ind/>
    </w:pPr>
    <w:rPr>
      <w:smallCaps/>
      <w:color w:val="5a5a5a" w:themeColor="text1" w:themeTint="A5"/>
    </w:rPr>
  </w:style>
  <w:style w:type="character" w:styleId="927">
    <w:name w:val="Book Title"/>
    <w:basedOn w:val="775"/>
    <w:uiPriority w:val="33"/>
    <w:qFormat/>
    <w:pPr>
      <w:pBdr/>
      <w:spacing/>
      <w:ind/>
    </w:pPr>
    <w:rPr>
      <w:b/>
      <w:bCs/>
      <w:i/>
      <w:iCs/>
      <w:spacing w:val="5"/>
    </w:rPr>
  </w:style>
  <w:style w:type="paragraph" w:styleId="928">
    <w:name w:val="Header"/>
    <w:basedOn w:val="765"/>
    <w:link w:val="929"/>
    <w:uiPriority w:val="99"/>
    <w:unhideWhenUsed/>
    <w:pPr>
      <w:pBdr/>
      <w:tabs>
        <w:tab w:val="center" w:leader="none" w:pos="4844"/>
        <w:tab w:val="right" w:leader="none" w:pos="9689"/>
      </w:tabs>
      <w:spacing w:after="0" w:line="240" w:lineRule="auto"/>
      <w:ind/>
    </w:pPr>
  </w:style>
  <w:style w:type="character" w:styleId="929" w:customStyle="1">
    <w:name w:val="Header Char"/>
    <w:basedOn w:val="775"/>
    <w:link w:val="928"/>
    <w:uiPriority w:val="99"/>
    <w:pPr>
      <w:pBdr/>
      <w:spacing/>
      <w:ind/>
    </w:pPr>
  </w:style>
  <w:style w:type="paragraph" w:styleId="930">
    <w:name w:val="Footer"/>
    <w:basedOn w:val="765"/>
    <w:link w:val="931"/>
    <w:uiPriority w:val="99"/>
    <w:unhideWhenUsed/>
    <w:pPr>
      <w:pBdr/>
      <w:tabs>
        <w:tab w:val="center" w:leader="none" w:pos="4844"/>
        <w:tab w:val="right" w:leader="none" w:pos="9689"/>
      </w:tabs>
      <w:spacing w:after="0" w:line="240" w:lineRule="auto"/>
      <w:ind/>
    </w:pPr>
  </w:style>
  <w:style w:type="character" w:styleId="931" w:customStyle="1">
    <w:name w:val="Footer Char"/>
    <w:basedOn w:val="775"/>
    <w:link w:val="930"/>
    <w:uiPriority w:val="99"/>
    <w:pPr>
      <w:pBdr/>
      <w:spacing/>
      <w:ind/>
    </w:pPr>
  </w:style>
  <w:style w:type="paragraph" w:styleId="932">
    <w:name w:val="Caption"/>
    <w:basedOn w:val="765"/>
    <w:next w:val="765"/>
    <w:uiPriority w:val="35"/>
    <w:unhideWhenUsed/>
    <w:qFormat/>
    <w:pPr>
      <w:pBdr/>
      <w:spacing w:line="240" w:lineRule="auto"/>
      <w:ind/>
    </w:pPr>
    <w:rPr>
      <w:i/>
      <w:iCs/>
      <w:color w:val="44546a" w:themeColor="text2"/>
      <w:sz w:val="18"/>
      <w:szCs w:val="18"/>
    </w:rPr>
  </w:style>
  <w:style w:type="paragraph" w:styleId="933">
    <w:name w:val="footnote text"/>
    <w:basedOn w:val="765"/>
    <w:link w:val="934"/>
    <w:uiPriority w:val="99"/>
    <w:semiHidden/>
    <w:unhideWhenUsed/>
    <w:pPr>
      <w:pBdr/>
      <w:spacing w:after="0" w:line="240" w:lineRule="auto"/>
      <w:ind/>
    </w:pPr>
    <w:rPr>
      <w:sz w:val="20"/>
      <w:szCs w:val="20"/>
    </w:rPr>
  </w:style>
  <w:style w:type="character" w:styleId="934" w:customStyle="1">
    <w:name w:val="Footnote Text Char"/>
    <w:basedOn w:val="775"/>
    <w:link w:val="933"/>
    <w:uiPriority w:val="99"/>
    <w:semiHidden/>
    <w:pPr>
      <w:pBdr/>
      <w:spacing/>
      <w:ind/>
    </w:pPr>
    <w:rPr>
      <w:sz w:val="20"/>
      <w:szCs w:val="20"/>
    </w:rPr>
  </w:style>
  <w:style w:type="character" w:styleId="935">
    <w:name w:val="footnote reference"/>
    <w:basedOn w:val="775"/>
    <w:uiPriority w:val="99"/>
    <w:semiHidden/>
    <w:unhideWhenUsed/>
    <w:pPr>
      <w:pBdr/>
      <w:spacing/>
      <w:ind/>
    </w:pPr>
    <w:rPr>
      <w:vertAlign w:val="superscript"/>
    </w:rPr>
  </w:style>
  <w:style w:type="paragraph" w:styleId="936">
    <w:name w:val="endnote text"/>
    <w:basedOn w:val="765"/>
    <w:link w:val="937"/>
    <w:uiPriority w:val="99"/>
    <w:semiHidden/>
    <w:unhideWhenUsed/>
    <w:pPr>
      <w:pBdr/>
      <w:spacing w:after="0" w:line="240" w:lineRule="auto"/>
      <w:ind/>
    </w:pPr>
    <w:rPr>
      <w:sz w:val="20"/>
      <w:szCs w:val="20"/>
    </w:rPr>
  </w:style>
  <w:style w:type="character" w:styleId="937" w:customStyle="1">
    <w:name w:val="Endnote Text Char"/>
    <w:basedOn w:val="775"/>
    <w:link w:val="936"/>
    <w:uiPriority w:val="99"/>
    <w:semiHidden/>
    <w:pPr>
      <w:pBdr/>
      <w:spacing/>
      <w:ind/>
    </w:pPr>
    <w:rPr>
      <w:sz w:val="20"/>
      <w:szCs w:val="20"/>
    </w:rPr>
  </w:style>
  <w:style w:type="character" w:styleId="938">
    <w:name w:val="endnote reference"/>
    <w:basedOn w:val="775"/>
    <w:uiPriority w:val="99"/>
    <w:semiHidden/>
    <w:unhideWhenUsed/>
    <w:pPr>
      <w:pBdr/>
      <w:spacing/>
      <w:ind/>
    </w:pPr>
    <w:rPr>
      <w:vertAlign w:val="superscript"/>
    </w:rPr>
  </w:style>
  <w:style w:type="character" w:styleId="939">
    <w:name w:val="Hyperlink"/>
    <w:basedOn w:val="775"/>
    <w:uiPriority w:val="99"/>
    <w:unhideWhenUsed/>
    <w:pPr>
      <w:pBdr/>
      <w:spacing/>
      <w:ind/>
    </w:pPr>
    <w:rPr>
      <w:color w:val="0563c1" w:themeColor="hyperlink"/>
      <w:u w:val="single"/>
    </w:rPr>
  </w:style>
  <w:style w:type="character" w:styleId="940">
    <w:name w:val="FollowedHyperlink"/>
    <w:basedOn w:val="775"/>
    <w:uiPriority w:val="99"/>
    <w:semiHidden/>
    <w:unhideWhenUsed/>
    <w:pPr>
      <w:pBdr/>
      <w:spacing/>
      <w:ind/>
    </w:pPr>
    <w:rPr>
      <w:color w:val="954f72" w:themeColor="followedHyperlink"/>
      <w:u w:val="single"/>
    </w:rPr>
  </w:style>
  <w:style w:type="paragraph" w:styleId="941">
    <w:name w:val="toc 1"/>
    <w:basedOn w:val="765"/>
    <w:next w:val="765"/>
    <w:uiPriority w:val="39"/>
    <w:unhideWhenUsed/>
    <w:pPr>
      <w:pBdr/>
      <w:spacing w:after="100"/>
      <w:ind/>
    </w:pPr>
  </w:style>
  <w:style w:type="paragraph" w:styleId="942">
    <w:name w:val="toc 2"/>
    <w:basedOn w:val="765"/>
    <w:next w:val="765"/>
    <w:uiPriority w:val="39"/>
    <w:unhideWhenUsed/>
    <w:pPr>
      <w:pBdr/>
      <w:spacing w:after="100"/>
      <w:ind w:left="220"/>
    </w:pPr>
  </w:style>
  <w:style w:type="paragraph" w:styleId="943">
    <w:name w:val="toc 3"/>
    <w:basedOn w:val="765"/>
    <w:next w:val="765"/>
    <w:uiPriority w:val="39"/>
    <w:unhideWhenUsed/>
    <w:pPr>
      <w:pBdr/>
      <w:spacing w:after="100"/>
      <w:ind w:left="440"/>
    </w:pPr>
  </w:style>
  <w:style w:type="paragraph" w:styleId="944">
    <w:name w:val="toc 4"/>
    <w:basedOn w:val="765"/>
    <w:next w:val="765"/>
    <w:uiPriority w:val="39"/>
    <w:unhideWhenUsed/>
    <w:pPr>
      <w:pBdr/>
      <w:spacing w:after="100"/>
      <w:ind w:left="660"/>
    </w:pPr>
  </w:style>
  <w:style w:type="paragraph" w:styleId="945">
    <w:name w:val="toc 5"/>
    <w:basedOn w:val="765"/>
    <w:next w:val="765"/>
    <w:uiPriority w:val="39"/>
    <w:unhideWhenUsed/>
    <w:pPr>
      <w:pBdr/>
      <w:spacing w:after="100"/>
      <w:ind w:left="880"/>
    </w:pPr>
  </w:style>
  <w:style w:type="paragraph" w:styleId="946">
    <w:name w:val="toc 6"/>
    <w:basedOn w:val="765"/>
    <w:next w:val="765"/>
    <w:uiPriority w:val="39"/>
    <w:unhideWhenUsed/>
    <w:pPr>
      <w:pBdr/>
      <w:spacing w:after="100"/>
      <w:ind w:left="1100"/>
    </w:pPr>
  </w:style>
  <w:style w:type="paragraph" w:styleId="947">
    <w:name w:val="toc 7"/>
    <w:basedOn w:val="765"/>
    <w:next w:val="765"/>
    <w:uiPriority w:val="39"/>
    <w:unhideWhenUsed/>
    <w:pPr>
      <w:pBdr/>
      <w:spacing w:after="100"/>
      <w:ind w:left="1320"/>
    </w:pPr>
  </w:style>
  <w:style w:type="paragraph" w:styleId="948">
    <w:name w:val="toc 8"/>
    <w:basedOn w:val="765"/>
    <w:next w:val="765"/>
    <w:uiPriority w:val="39"/>
    <w:unhideWhenUsed/>
    <w:pPr>
      <w:pBdr/>
      <w:spacing w:after="100"/>
      <w:ind w:left="1540"/>
    </w:pPr>
  </w:style>
  <w:style w:type="paragraph" w:styleId="949">
    <w:name w:val="toc 9"/>
    <w:basedOn w:val="765"/>
    <w:next w:val="765"/>
    <w:uiPriority w:val="39"/>
    <w:unhideWhenUsed/>
    <w:pPr>
      <w:pBdr/>
      <w:spacing w:after="100"/>
      <w:ind w:left="1760"/>
    </w:pPr>
  </w:style>
  <w:style w:type="paragraph" w:styleId="950">
    <w:name w:val="TOC Heading"/>
    <w:uiPriority w:val="39"/>
    <w:unhideWhenUsed/>
    <w:pPr>
      <w:pBdr/>
      <w:spacing/>
      <w:ind/>
    </w:pPr>
  </w:style>
  <w:style w:type="paragraph" w:styleId="951">
    <w:name w:val="table of figures"/>
    <w:basedOn w:val="765"/>
    <w:next w:val="765"/>
    <w:uiPriority w:val="99"/>
    <w:unhideWhenUsed/>
    <w:pPr>
      <w:pBdr/>
      <w:spacing w:after="0"/>
      <w:ind/>
    </w:pPr>
  </w:style>
  <w:style w:type="paragraph" w:styleId="952">
    <w:name w:val="No Spacing"/>
    <w:basedOn w:val="765"/>
    <w:uiPriority w:val="1"/>
    <w:qFormat/>
    <w:pPr>
      <w:pBdr/>
      <w:spacing w:after="0" w:line="240" w:lineRule="auto"/>
      <w:ind/>
    </w:pPr>
  </w:style>
  <w:style w:type="paragraph" w:styleId="953">
    <w:name w:val="List Paragraph"/>
    <w:basedOn w:val="765"/>
    <w:uiPriority w:val="34"/>
    <w:qFormat/>
    <w:pPr>
      <w:pBdr/>
      <w:spacing/>
      <w:ind w:left="720"/>
      <w:contextualSpacing w:val="true"/>
    </w:pPr>
  </w:style>
  <w:style w:type="paragraph" w:styleId="954">
    <w:name w:val="Revision"/>
    <w:hidden/>
    <w:uiPriority w:val="99"/>
    <w:semiHidden/>
    <w:pPr>
      <w:pBdr/>
      <w:spacing w:after="0" w:line="240" w:lineRule="auto"/>
      <w:ind/>
    </w:pPr>
  </w:style>
  <w:style w:type="character" w:styleId="955">
    <w:name w:val="Unresolved Mention"/>
    <w:basedOn w:val="775"/>
    <w:uiPriority w:val="99"/>
    <w:semiHidden/>
    <w:unhideWhenUsed/>
    <w:pPr>
      <w:pBdr/>
      <w:spacing/>
      <w:ind/>
    </w:pPr>
    <w:rPr>
      <w:color w:val="605e5c"/>
      <w:shd w:val="clear" w:color="auto" w:fill="e1dfdd"/>
    </w:rPr>
  </w:style>
  <w:style w:type="character" w:styleId="956">
    <w:name w:val="Placeholder Text"/>
    <w:basedOn w:val="775"/>
    <w:uiPriority w:val="99"/>
    <w:semiHidden/>
    <w:pPr>
      <w:pBdr/>
      <w:spacing/>
      <w:ind/>
    </w:pPr>
    <w:rPr>
      <w:color w:val="66666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hyperlink" Target="https://flrproject.org/" TargetMode="External"/><Relationship Id="rId12" Type="http://schemas.openxmlformats.org/officeDocument/2006/relationships/hyperlink" Target="https://github.com/flr/a4adiag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6B05C-DA27-4B1E-B70E-E04FFEF3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created xsi:type="dcterms:W3CDTF">2026-05-18T15:28:00Z</dcterms:created>
  <dcterms:modified xsi:type="dcterms:W3CDTF">2026-05-19T14:57:26Z</dcterms:modified>
</cp:coreProperties>
</file>