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480" w:after="240"/>
        <w:jc w:val="center"/>
        <w:rPr>
          <w:rFonts w:ascii="Times New Roman" w:hAnsi="Times New Roman"/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APPENDIX - </w:t>
      </w:r>
      <w:r>
        <w:rPr>
          <w:b/>
          <w:bCs/>
          <w:color w:val="000000"/>
          <w:sz w:val="24"/>
          <w:szCs w:val="24"/>
        </w:rPr>
        <w:t>A4A FINAL RUNS</w:t>
      </w:r>
    </w:p>
    <w:p>
      <w:pPr>
        <w:pStyle w:val="Author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D. Mantopoulou-Palouka and G. Tserpe</w:t>
      </w:r>
      <w:r>
        <w:rPr>
          <w:rFonts w:ascii="Times New Roman" w:hAnsi="Times New Roman"/>
          <w:sz w:val="20"/>
          <w:szCs w:val="20"/>
        </w:rPr>
        <w:t>s</w:t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1. Introduction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final runs of the Mediterranean Swordfish, using statistical catch-at-age method a4a, are presented in the current document. Following the recommendation of the Group, the assessments assuming a constant natural mortality considered adequate to assess the status of the stock. The Group requested for two final a4a runs, </w:t>
      </w:r>
      <w:r>
        <w:rPr>
          <w:rFonts w:ascii="Times New Roman" w:hAnsi="Times New Roman"/>
          <w:sz w:val="20"/>
          <w:szCs w:val="20"/>
        </w:rPr>
        <w:t>assuming constant mortality vector with and without discards.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The final runs took</w:t>
      </w:r>
      <w:r>
        <w:rPr>
          <w:rFonts w:ascii="Times New Roman" w:hAnsi="Times New Roman"/>
          <w:sz w:val="20"/>
          <w:szCs w:val="20"/>
        </w:rPr>
        <w:t xml:space="preserve"> into consideration an additional standardized CPUE index, the one of the Ligurian surface longliners, expressed in biomass. </w:t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2. Materials and Methods</w:t>
      </w:r>
    </w:p>
    <w:p>
      <w:pPr>
        <w:pStyle w:val="Normal"/>
        <w:jc w:val="both"/>
        <w:rPr/>
      </w:pPr>
      <w:r>
        <w:rPr>
          <w:rFonts w:ascii="Times New Roman" w:hAnsi="Times New Roman"/>
          <w:b w:val="false"/>
          <w:bCs w:val="false"/>
          <w:sz w:val="20"/>
          <w:szCs w:val="20"/>
        </w:rPr>
        <w:t>The final a4a runs used CAA data from 1985 to 2018 and five standardized CPUE biomass indices were considere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d.  The first run assumed a constant mortality vector M = 0.2, while the second assumed also a constant M including discards estimates as derived from the SCRS/2020/028. The six CPUE indices are: 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Greek longliners (SCRS/2020/021), Moroccan longliners (SCRS 2020/026), Spanish longliners (SCRS 2020/043), Ligurian longliners (SCRS 2020/027), Sicilian longliners (Tserpes et al. 2011) and Ligurian surface longliners (SCRS 2020/???) as suggested by the Group. All indices were considered representative of ages 2 – 4. 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The standardized CPUE indices are shown in </w:t>
      </w:r>
      <w:r>
        <w:rPr>
          <w:rFonts w:ascii="Times New Roman" w:hAnsi="Times New Roman"/>
          <w:b/>
          <w:bCs/>
          <w:sz w:val="20"/>
          <w:szCs w:val="20"/>
        </w:rPr>
        <w:t>Figure 1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. </w:t>
      </w:r>
    </w:p>
    <w:p>
      <w:pPr>
        <w:pStyle w:val="Normal"/>
        <w:jc w:val="both"/>
        <w:rPr/>
      </w:pP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The same final model setup was applied in the two runs and the structure of submodels can be found in </w:t>
      </w:r>
      <w:r>
        <w:rPr>
          <w:rFonts w:ascii="Times New Roman" w:hAnsi="Times New Roman"/>
          <w:b/>
          <w:bCs/>
          <w:sz w:val="20"/>
          <w:szCs w:val="20"/>
        </w:rPr>
        <w:t>Table 1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. 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Age plus group was set to 5 and the F range was set to ages 2 – 4. </w:t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3. Results</w:t>
      </w:r>
    </w:p>
    <w:p>
      <w:pPr>
        <w:pStyle w:val="Normal"/>
        <w:jc w:val="both"/>
        <w:rPr/>
      </w:pP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The results among the runs were </w:t>
      </w:r>
      <w:r>
        <w:rPr>
          <w:rFonts w:ascii="Times New Roman" w:hAnsi="Times New Roman"/>
          <w:b w:val="false"/>
          <w:bCs w:val="false"/>
          <w:sz w:val="20"/>
          <w:szCs w:val="20"/>
        </w:rPr>
        <w:t>considered similar,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 besides the estimated recruitment in recent years where the discards run estimation was a bit higher. 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A downward trend in the residuals, begging in the mid 1990s is present in both runs. 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Moreover the uncertainty around estimates of the recruitment appeared high in both cases </w:t>
      </w:r>
      <w:r>
        <w:rPr>
          <w:rFonts w:ascii="Times New Roman" w:hAnsi="Times New Roman"/>
          <w:b w:val="false"/>
          <w:bCs w:val="false"/>
          <w:sz w:val="20"/>
          <w:szCs w:val="20"/>
        </w:rPr>
        <w:t>at the end of the time series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. 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The trajectory of SSB revealed a slight declining trend and after the mid-2000s fluctuated around 7,500 t. The results of the two final runs can are plotted in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 xml:space="preserve">Figures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2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 and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3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. Diagnostic tests were performed for both CAA and standardized CPUE indices residuals and are presented in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 xml:space="preserve">Figures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4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 xml:space="preserve"> -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7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.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  A negative pattern in the recruitment residuals is present in both runs, where it should be noted that this was probably the result of lack of a tuning index for age 0. 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Quantile – quantile plots for both CAA and standardized CPUE indices showed some heavy tails in the recruitment and are presented in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 xml:space="preserve">Figures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8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 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>and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9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. 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Retrospective analysis conducted for both cases did not show any particular pattern except for the recruitment were some discrepancies were observed. Retrospective analysis for each run is presented in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 xml:space="preserve">Figures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10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 and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1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1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. MCMC runs were performed for the two final runs as an alternative to the maximum likelihood estimation (MLE) that is being used as a default estimation procedure in the assessment. 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The plots comparing maximum likelihood estimation and MCMC are presented in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Figures 1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2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 and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1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3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. 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Comparisons of the results between the two approaches are presented in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Figure 1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4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. 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For the estimation of biological reference points, a Beverton Holt Stock Recruitment relationship was assumed. Given the lack of sufficient data, an empirical relationship with high steepness value was developed. The reference points values 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>along the final year’s estimation for the SSB and F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 xml:space="preserve"> are presented in </w:t>
      </w:r>
      <w:r>
        <w:rPr>
          <w:rFonts w:eastAsia="Basic Roman" w:cs="Basic Roman" w:ascii="Times New Roman" w:hAnsi="Times New Roman"/>
          <w:b/>
          <w:bCs/>
          <w:kern w:val="2"/>
          <w:sz w:val="20"/>
          <w:szCs w:val="20"/>
          <w:lang w:val="en-US"/>
        </w:rPr>
        <w:t>Table 2</w:t>
      </w:r>
      <w:r>
        <w:rPr>
          <w:rFonts w:eastAsia="Basic Roman" w:cs="Basic Roman" w:ascii="Times New Roman" w:hAnsi="Times New Roman"/>
          <w:b w:val="false"/>
          <w:bCs w:val="false"/>
          <w:kern w:val="2"/>
          <w:sz w:val="20"/>
          <w:szCs w:val="20"/>
          <w:lang w:val="en-US"/>
        </w:rPr>
        <w:t>.</w:t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Table 1. 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Submodels set up for the final a4a runs assuming constant M and 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discards run. </w:t>
      </w:r>
      <w:r>
        <w:rPr>
          <w:rFonts w:ascii="Times New Roman" w:hAnsi="Times New Roman"/>
          <w:b w:val="false"/>
          <w:bCs w:val="false"/>
          <w:sz w:val="20"/>
          <w:szCs w:val="20"/>
        </w:rPr>
        <w:t>~1 stands for the constant model while ~s( )  are thin plate regression splines.</w:t>
      </w:r>
    </w:p>
    <w:tbl>
      <w:tblPr>
        <w:tblW w:w="9360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TableContents"/>
              <w:keepNext w:val="true"/>
              <w:spacing w:before="0" w:after="20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F-at-age 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F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~s(year, k =17) + s(age, k = 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keepNext w:val="true"/>
              <w:spacing w:before="0" w:after="20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Recruitment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R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~s(year, k =15)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keepNext w:val="true"/>
              <w:spacing w:before="0" w:after="20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Catchability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~1 for GG_LL, SP_LL, SI_LL</w:t>
            </w:r>
          </w:p>
          <w:p>
            <w:pPr>
              <w:pStyle w:val="TableContents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~s(year, k = 3)  for MO_LL</w:t>
            </w:r>
          </w:p>
          <w:p>
            <w:pPr>
              <w:pStyle w:val="TableContents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~s(year, k = 3) for LI_LL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~s(year, k = 9) for LI_SUR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keepNext w:val="true"/>
              <w:spacing w:before="0" w:after="20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Observation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Variance </w:t>
            </w:r>
            <w:r>
              <w:rPr>
                <w:rFonts w:ascii="Times New Roman" w:hAnsi="Times New Roman"/>
                <w:sz w:val="20"/>
                <w:szCs w:val="20"/>
              </w:rPr>
              <w:t>of the catch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σ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~s(age, k = 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keepNext w:val="true"/>
              <w:spacing w:before="0" w:after="200"/>
              <w:jc w:val="right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Observation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Variance </w:t>
            </w:r>
            <w:r>
              <w:rPr>
                <w:rFonts w:ascii="Times New Roman" w:hAnsi="Times New Roman"/>
                <w:sz w:val="20"/>
                <w:szCs w:val="20"/>
              </w:rPr>
              <w:t>of the indices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τ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~1 for all indices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Initial age structure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Ν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~s(age, k = 3)</w:t>
            </w:r>
          </w:p>
        </w:tc>
      </w:tr>
    </w:tbl>
    <w:p>
      <w:pPr>
        <w:pStyle w:val="Normal"/>
        <w:jc w:val="both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T</w:t>
      </w:r>
      <w:r>
        <w:rPr>
          <w:rFonts w:ascii="Times New Roman" w:hAnsi="Times New Roman"/>
          <w:b/>
          <w:bCs/>
          <w:sz w:val="20"/>
          <w:szCs w:val="20"/>
        </w:rPr>
        <w:t xml:space="preserve">able 2. </w:t>
      </w:r>
      <w:r>
        <w:rPr>
          <w:rFonts w:ascii="Times New Roman" w:hAnsi="Times New Roman"/>
          <w:b w:val="false"/>
          <w:bCs w:val="false"/>
          <w:sz w:val="20"/>
          <w:szCs w:val="20"/>
        </w:rPr>
        <w:t>Biological reference points and terminal values for F and SSB for the two a4a final runs.</w:t>
      </w:r>
    </w:p>
    <w:tbl>
      <w:tblPr>
        <w:tblW w:w="9360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Estimates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Constant M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Discards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F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2018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0" w:name="rstudio_console_output"/>
            <w:bookmarkEnd w:id="0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0.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53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1" w:name="rstudio_console_output1"/>
            <w:bookmarkEnd w:id="1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0.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702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SSB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2" w:name="rstudio_console_output2"/>
            <w:bookmarkEnd w:id="2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7312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3" w:name="rstudio_console_output3"/>
            <w:bookmarkEnd w:id="3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633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MSY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14548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13783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F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MSY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0.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383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75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MSY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4" w:name="rstudio_console_output4"/>
            <w:bookmarkEnd w:id="4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4586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5" w:name="rstudio_console_output5"/>
            <w:bookmarkEnd w:id="5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43513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F/F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MSY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6" w:name="rstudio_console_output6"/>
            <w:bookmarkEnd w:id="6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1.397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7" w:name="rstudio_console_output7"/>
            <w:bookmarkEnd w:id="7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1.871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B/B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  <w:t>MSY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8" w:name="rstudio_console_output8"/>
            <w:bookmarkEnd w:id="8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0.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500</w:t>
            </w:r>
          </w:p>
        </w:tc>
        <w:tc>
          <w:tcPr>
            <w:tcW w:w="3120" w:type="dxa"/>
            <w:tcBorders/>
          </w:tcPr>
          <w:p>
            <w:pPr>
              <w:pStyle w:val="PreformattedText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bookmarkStart w:id="9" w:name="rstudio_console_output9"/>
            <w:bookmarkEnd w:id="9"/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0.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51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  <w:szCs w:val="20"/>
              </w:rPr>
              <w:t>8</w:t>
            </w:r>
          </w:p>
        </w:tc>
      </w:tr>
    </w:tbl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367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>igure 1</w:t>
      </w:r>
      <w:r>
        <w:rPr>
          <w:rFonts w:ascii="Times New Roman" w:hAnsi="Times New Roman"/>
          <w:sz w:val="20"/>
          <w:szCs w:val="20"/>
        </w:rPr>
        <w:t xml:space="preserve">. Time </w:t>
      </w:r>
      <w:r>
        <w:rPr>
          <w:rFonts w:ascii="Times New Roman" w:hAnsi="Times New Roman"/>
          <w:sz w:val="20"/>
          <w:szCs w:val="20"/>
        </w:rPr>
        <w:t xml:space="preserve">series of scaled standardized CPUE indices by fleet: GR_LL = Greek longline, SP_LL = </w:t>
      </w:r>
      <w:r>
        <w:rPr>
          <w:rFonts w:ascii="Times New Roman" w:hAnsi="Times New Roman"/>
          <w:sz w:val="20"/>
          <w:szCs w:val="20"/>
        </w:rPr>
        <w:t xml:space="preserve">Spanish longline, MO_LL = Moroccan longline, LI_LL = Ligurian longline, SI_LL = Sicilian longline. </w:t>
      </w:r>
      <w:r>
        <w:rPr>
          <w:rFonts w:ascii="Times New Roman" w:hAnsi="Times New Roman"/>
          <w:sz w:val="20"/>
          <w:szCs w:val="20"/>
        </w:rPr>
        <w:t>LI_SUR = Ligurian Surface longline.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4990" cy="38982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>igure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>. Estimated time series for the Constant M run. 50% and 90% CIs.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5780" cy="34607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>igure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>3</w:t>
      </w:r>
      <w:r>
        <w:rPr>
          <w:rFonts w:ascii="Times New Roman" w:hAnsi="Times New Roman"/>
          <w:sz w:val="20"/>
          <w:szCs w:val="20"/>
        </w:rPr>
        <w:t xml:space="preserve">. Estimated time series for the </w:t>
      </w:r>
      <w:r>
        <w:rPr>
          <w:rFonts w:ascii="Times New Roman" w:hAnsi="Times New Roman"/>
          <w:sz w:val="20"/>
          <w:szCs w:val="20"/>
        </w:rPr>
        <w:t>Discards</w:t>
      </w:r>
      <w:r>
        <w:rPr>
          <w:rFonts w:ascii="Times New Roman" w:hAnsi="Times New Roman"/>
          <w:sz w:val="20"/>
          <w:szCs w:val="20"/>
        </w:rPr>
        <w:t xml:space="preserve"> run. 50% and 90% CIs.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350" cy="37820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>igure 4</w:t>
      </w:r>
      <w:r>
        <w:rPr>
          <w:rFonts w:ascii="Times New Roman" w:hAnsi="Times New Roman"/>
          <w:sz w:val="20"/>
          <w:szCs w:val="20"/>
        </w:rPr>
        <w:t>. Standardized residuals for catch numbers for Constant M run.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4025" cy="38284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>igure 5</w:t>
      </w:r>
      <w:r>
        <w:rPr>
          <w:rFonts w:ascii="Times New Roman" w:hAnsi="Times New Roman"/>
          <w:sz w:val="20"/>
          <w:szCs w:val="20"/>
        </w:rPr>
        <w:t>. Standardized residuals for biomass indices for Constant M run.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3055" cy="37306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>igure 6</w:t>
      </w:r>
      <w:r>
        <w:rPr>
          <w:rFonts w:ascii="Times New Roman" w:hAnsi="Times New Roman"/>
          <w:sz w:val="20"/>
          <w:szCs w:val="20"/>
        </w:rPr>
        <w:t>. Standardized residuals for catch numbers for Discards run.</w:t>
      </w:r>
    </w:p>
    <w:p>
      <w:pPr>
        <w:pStyle w:val="Normal"/>
        <w:jc w:val="both"/>
        <w:rPr>
          <w:rFonts w:ascii="Times New Roman" w:hAnsi="Times New Roman"/>
          <w:sz w:val="20"/>
          <w:szCs w:val="20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9880" cy="37287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>igure 7</w:t>
      </w:r>
      <w:r>
        <w:rPr>
          <w:rFonts w:ascii="Times New Roman" w:hAnsi="Times New Roman"/>
          <w:sz w:val="20"/>
          <w:szCs w:val="20"/>
        </w:rPr>
        <w:t>. Standardized residuals for biomass indices for Discards run.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1665" cy="37623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66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 xml:space="preserve">igure </w:t>
      </w:r>
      <w:r>
        <w:rPr>
          <w:rFonts w:ascii="Times New Roman" w:hAnsi="Times New Roman"/>
          <w:b/>
          <w:bCs/>
          <w:sz w:val="20"/>
          <w:szCs w:val="20"/>
        </w:rPr>
        <w:t>8</w:t>
      </w:r>
      <w:r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 xml:space="preserve">Quantile – quantile plots </w:t>
      </w:r>
      <w:r>
        <w:rPr>
          <w:rFonts w:ascii="Times New Roman" w:hAnsi="Times New Roman"/>
          <w:sz w:val="20"/>
          <w:szCs w:val="20"/>
        </w:rPr>
        <w:t xml:space="preserve">for catch numbers </w:t>
      </w:r>
      <w:r>
        <w:rPr>
          <w:rFonts w:ascii="Times New Roman" w:hAnsi="Times New Roman"/>
          <w:sz w:val="20"/>
          <w:szCs w:val="20"/>
        </w:rPr>
        <w:t>and biomass indices</w:t>
      </w:r>
      <w:r>
        <w:rPr>
          <w:rFonts w:ascii="Times New Roman" w:hAnsi="Times New Roman"/>
          <w:sz w:val="20"/>
          <w:szCs w:val="20"/>
        </w:rPr>
        <w:t xml:space="preserve"> for </w:t>
      </w:r>
      <w:r>
        <w:rPr>
          <w:rFonts w:ascii="Times New Roman" w:hAnsi="Times New Roman"/>
          <w:sz w:val="20"/>
          <w:szCs w:val="20"/>
        </w:rPr>
        <w:t>Constant M</w:t>
      </w:r>
      <w:r>
        <w:rPr>
          <w:rFonts w:ascii="Times New Roman" w:hAnsi="Times New Roman"/>
          <w:sz w:val="20"/>
          <w:szCs w:val="20"/>
        </w:rPr>
        <w:t xml:space="preserve"> run.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6275" cy="379857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 xml:space="preserve">igure </w:t>
      </w:r>
      <w:r>
        <w:rPr>
          <w:rFonts w:ascii="Times New Roman" w:hAnsi="Times New Roman"/>
          <w:b/>
          <w:bCs/>
          <w:sz w:val="20"/>
          <w:szCs w:val="20"/>
        </w:rPr>
        <w:t>8</w:t>
      </w:r>
      <w:r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 xml:space="preserve">Quantile – quantile plots </w:t>
      </w:r>
      <w:r>
        <w:rPr>
          <w:rFonts w:ascii="Times New Roman" w:hAnsi="Times New Roman"/>
          <w:sz w:val="20"/>
          <w:szCs w:val="20"/>
        </w:rPr>
        <w:t xml:space="preserve">for catch numbers </w:t>
      </w:r>
      <w:r>
        <w:rPr>
          <w:rFonts w:ascii="Times New Roman" w:hAnsi="Times New Roman"/>
          <w:sz w:val="20"/>
          <w:szCs w:val="20"/>
        </w:rPr>
        <w:t>and biomass indices</w:t>
      </w:r>
      <w:r>
        <w:rPr>
          <w:rFonts w:ascii="Times New Roman" w:hAnsi="Times New Roman"/>
          <w:sz w:val="20"/>
          <w:szCs w:val="20"/>
        </w:rPr>
        <w:t xml:space="preserve"> for </w:t>
      </w:r>
      <w:r>
        <w:rPr>
          <w:rFonts w:ascii="Times New Roman" w:hAnsi="Times New Roman"/>
          <w:sz w:val="20"/>
          <w:szCs w:val="20"/>
        </w:rPr>
        <w:t xml:space="preserve">Discards </w:t>
      </w:r>
      <w:r>
        <w:rPr>
          <w:rFonts w:ascii="Times New Roman" w:hAnsi="Times New Roman"/>
          <w:sz w:val="20"/>
          <w:szCs w:val="20"/>
        </w:rPr>
        <w:t>run.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9900" cy="383921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 xml:space="preserve">igure </w:t>
      </w:r>
      <w:r>
        <w:rPr>
          <w:rFonts w:ascii="Times New Roman" w:hAnsi="Times New Roman"/>
          <w:b/>
          <w:bCs/>
          <w:sz w:val="20"/>
          <w:szCs w:val="20"/>
        </w:rPr>
        <w:t>10</w:t>
      </w:r>
      <w:r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 xml:space="preserve">Retrospective plots </w:t>
      </w:r>
      <w:r>
        <w:rPr>
          <w:rFonts w:ascii="Times New Roman" w:hAnsi="Times New Roman"/>
          <w:sz w:val="20"/>
          <w:szCs w:val="20"/>
        </w:rPr>
        <w:t xml:space="preserve">for </w:t>
      </w:r>
      <w:r>
        <w:rPr>
          <w:rFonts w:ascii="Times New Roman" w:hAnsi="Times New Roman"/>
          <w:sz w:val="20"/>
          <w:szCs w:val="20"/>
        </w:rPr>
        <w:t>Constant M</w:t>
      </w:r>
      <w:r>
        <w:rPr>
          <w:rFonts w:ascii="Times New Roman" w:hAnsi="Times New Roman"/>
          <w:sz w:val="20"/>
          <w:szCs w:val="20"/>
        </w:rPr>
        <w:t xml:space="preserve"> run.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7515" cy="381698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51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 xml:space="preserve">igure </w:t>
      </w:r>
      <w:r>
        <w:rPr>
          <w:rFonts w:ascii="Times New Roman" w:hAnsi="Times New Roman"/>
          <w:b/>
          <w:bCs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 xml:space="preserve">Retrospective plots </w:t>
      </w:r>
      <w:r>
        <w:rPr>
          <w:rFonts w:ascii="Times New Roman" w:hAnsi="Times New Roman"/>
          <w:sz w:val="20"/>
          <w:szCs w:val="20"/>
        </w:rPr>
        <w:t xml:space="preserve">for </w:t>
      </w:r>
      <w:r>
        <w:rPr>
          <w:rFonts w:ascii="Times New Roman" w:hAnsi="Times New Roman"/>
          <w:sz w:val="20"/>
          <w:szCs w:val="20"/>
        </w:rPr>
        <w:t xml:space="preserve">Discards </w:t>
      </w:r>
      <w:r>
        <w:rPr>
          <w:rFonts w:ascii="Times New Roman" w:hAnsi="Times New Roman"/>
          <w:sz w:val="20"/>
          <w:szCs w:val="20"/>
        </w:rPr>
        <w:t>run.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5440" cy="375348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 xml:space="preserve">igure </w:t>
      </w:r>
      <w:r>
        <w:rPr>
          <w:rFonts w:ascii="Times New Roman" w:hAnsi="Times New Roman"/>
          <w:b/>
          <w:bCs/>
          <w:sz w:val="20"/>
          <w:szCs w:val="20"/>
        </w:rPr>
        <w:t>12</w:t>
      </w:r>
      <w:r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 xml:space="preserve">Comparative plot between MLE fit and MCMC </w:t>
      </w:r>
      <w:r>
        <w:rPr>
          <w:rFonts w:ascii="Times New Roman" w:hAnsi="Times New Roman"/>
          <w:sz w:val="20"/>
          <w:szCs w:val="20"/>
        </w:rPr>
        <w:t xml:space="preserve">for </w:t>
      </w:r>
      <w:r>
        <w:rPr>
          <w:rFonts w:ascii="Times New Roman" w:hAnsi="Times New Roman"/>
          <w:sz w:val="20"/>
          <w:szCs w:val="20"/>
        </w:rPr>
        <w:t>Constant M</w:t>
      </w:r>
      <w:r>
        <w:rPr>
          <w:rFonts w:ascii="Times New Roman" w:hAnsi="Times New Roman"/>
          <w:sz w:val="20"/>
          <w:szCs w:val="20"/>
        </w:rPr>
        <w:t xml:space="preserve"> run.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0705" cy="390207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 xml:space="preserve">igure </w:t>
      </w:r>
      <w:r>
        <w:rPr>
          <w:rFonts w:ascii="Times New Roman" w:hAnsi="Times New Roman"/>
          <w:b/>
          <w:bCs/>
          <w:sz w:val="20"/>
          <w:szCs w:val="20"/>
        </w:rPr>
        <w:t>13</w:t>
      </w:r>
      <w:r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 xml:space="preserve">Comparative plot between MLE fit and MCMC </w:t>
      </w:r>
      <w:r>
        <w:rPr>
          <w:rFonts w:ascii="Times New Roman" w:hAnsi="Times New Roman"/>
          <w:sz w:val="20"/>
          <w:szCs w:val="20"/>
        </w:rPr>
        <w:t xml:space="preserve">for </w:t>
      </w:r>
      <w:r>
        <w:rPr>
          <w:rFonts w:ascii="Times New Roman" w:hAnsi="Times New Roman"/>
          <w:sz w:val="20"/>
          <w:szCs w:val="20"/>
        </w:rPr>
        <w:t>Discards</w:t>
      </w:r>
      <w:r>
        <w:rPr>
          <w:rFonts w:ascii="Times New Roman" w:hAnsi="Times New Roman"/>
          <w:sz w:val="20"/>
          <w:szCs w:val="20"/>
        </w:rPr>
        <w:t xml:space="preserve"> run.</w:t>
      </w:r>
    </w:p>
    <w:p>
      <w:pPr>
        <w:pStyle w:val="Normal"/>
        <w:spacing w:before="0" w:after="200"/>
        <w:jc w:val="both"/>
        <w:rPr/>
      </w:pPr>
      <w: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1162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F</w:t>
      </w:r>
      <w:r>
        <w:rPr>
          <w:rFonts w:ascii="Times New Roman" w:hAnsi="Times New Roman"/>
          <w:b/>
          <w:bCs/>
          <w:sz w:val="20"/>
          <w:szCs w:val="20"/>
        </w:rPr>
        <w:t xml:space="preserve">igure </w:t>
      </w:r>
      <w:r>
        <w:rPr>
          <w:rFonts w:ascii="Times New Roman" w:hAnsi="Times New Roman"/>
          <w:b/>
          <w:bCs/>
          <w:sz w:val="20"/>
          <w:szCs w:val="20"/>
        </w:rPr>
        <w:t>14</w:t>
      </w:r>
      <w:r>
        <w:rPr>
          <w:rFonts w:ascii="Times New Roman" w:hAnsi="Times New Roman"/>
          <w:sz w:val="20"/>
          <w:szCs w:val="20"/>
        </w:rPr>
        <w:t xml:space="preserve">. </w:t>
      </w:r>
      <w:r>
        <w:rPr>
          <w:rFonts w:ascii="Times New Roman" w:hAnsi="Times New Roman"/>
          <w:sz w:val="20"/>
          <w:szCs w:val="20"/>
        </w:rPr>
        <w:t>Comparative plot between Constant M run and Discards</w:t>
      </w:r>
      <w:r>
        <w:rPr>
          <w:rFonts w:ascii="Times New Roman" w:hAnsi="Times New Roman"/>
          <w:sz w:val="20"/>
          <w:szCs w:val="20"/>
        </w:rPr>
        <w:t>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DejaVu Sans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00"/>
      <w:jc w:val="left"/>
    </w:pPr>
    <w:rPr>
      <w:rFonts w:ascii="Cambria" w:hAnsi="Cambria" w:eastAsia="Cambria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Cambria" w:cs="DejaVu Sans"/>
      <w:b/>
      <w:bCs/>
      <w:color w:val="345A8A"/>
      <w:sz w:val="32"/>
      <w:szCs w:val="32"/>
    </w:rPr>
  </w:style>
  <w:style w:type="paragraph" w:styleId="Heading2">
    <w:name w:val="Heading 2"/>
    <w:basedOn w:val="Normal"/>
    <w:next w:val="TextBody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Cambria" w:cs="DejaVu Sans"/>
      <w:b/>
      <w:bCs/>
      <w:color w:val="4F81BD"/>
      <w:sz w:val="32"/>
      <w:szCs w:val="32"/>
    </w:rPr>
  </w:style>
  <w:style w:type="paragraph" w:styleId="Heading3">
    <w:name w:val="Heading 3"/>
    <w:basedOn w:val="Normal"/>
    <w:next w:val="TextBody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Cambria" w:cs="DejaVu Sans"/>
      <w:b/>
      <w:bCs/>
      <w:color w:val="4F81BD"/>
      <w:sz w:val="28"/>
      <w:szCs w:val="28"/>
    </w:rPr>
  </w:style>
  <w:style w:type="paragraph" w:styleId="Heading4">
    <w:name w:val="Heading 4"/>
    <w:basedOn w:val="Normal"/>
    <w:next w:val="TextBody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Cambria" w:cs="DejaVu Sans"/>
      <w:b/>
      <w:bCs/>
      <w:color w:val="4F81BD"/>
      <w:sz w:val="24"/>
      <w:szCs w:val="24"/>
    </w:rPr>
  </w:style>
  <w:style w:type="paragraph" w:styleId="Heading5">
    <w:name w:val="Heading 5"/>
    <w:basedOn w:val="Normal"/>
    <w:next w:val="TextBody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Cambria" w:cs="DejaVu Sans"/>
      <w:i/>
      <w:iCs/>
      <w:color w:val="4F81BD"/>
      <w:sz w:val="24"/>
      <w:szCs w:val="24"/>
    </w:rPr>
  </w:style>
  <w:style w:type="paragraph" w:styleId="Heading6">
    <w:name w:val="Heading 6"/>
    <w:basedOn w:val="Normal"/>
    <w:next w:val="TextBody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Cambria" w:cs="DejaVu Sans"/>
      <w:color w:val="4F81BD"/>
      <w:sz w:val="24"/>
      <w:szCs w:val="24"/>
    </w:rPr>
  </w:style>
  <w:style w:type="paragraph" w:styleId="Heading7">
    <w:name w:val="Heading 7"/>
    <w:basedOn w:val="Normal"/>
    <w:next w:val="TextBody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Cambria" w:cs="DejaVu Sans"/>
      <w:color w:val="4F81BD"/>
      <w:sz w:val="24"/>
      <w:szCs w:val="24"/>
    </w:rPr>
  </w:style>
  <w:style w:type="paragraph" w:styleId="Heading8">
    <w:name w:val="Heading 8"/>
    <w:basedOn w:val="Normal"/>
    <w:next w:val="TextBody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Cambria" w:cs="DejaVu Sans"/>
      <w:color w:val="4F81BD"/>
      <w:sz w:val="24"/>
      <w:szCs w:val="24"/>
    </w:rPr>
  </w:style>
  <w:style w:type="paragraph" w:styleId="Heading9">
    <w:name w:val="Heading 9"/>
    <w:basedOn w:val="Normal"/>
    <w:next w:val="TextBody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Cambria" w:cs="DejaVu Sans"/>
      <w:color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/>
    </w:rPr>
  </w:style>
  <w:style w:type="character" w:styleId="KeywordTok">
    <w:name w:val="KeywordTok"/>
    <w:basedOn w:val="VerbatimChar"/>
    <w:qFormat/>
    <w:rPr>
      <w:b/>
      <w:color w:val="204A87"/>
      <w:highlight w:val="white"/>
    </w:rPr>
  </w:style>
  <w:style w:type="character" w:styleId="DataTypeTok">
    <w:name w:val="DataTypeTok"/>
    <w:basedOn w:val="VerbatimChar"/>
    <w:qFormat/>
    <w:rPr>
      <w:color w:val="204A87"/>
      <w:highlight w:val="white"/>
    </w:rPr>
  </w:style>
  <w:style w:type="character" w:styleId="DecValTok">
    <w:name w:val="DecValTok"/>
    <w:basedOn w:val="VerbatimChar"/>
    <w:qFormat/>
    <w:rPr>
      <w:color w:val="0000CF"/>
      <w:highlight w:val="white"/>
    </w:rPr>
  </w:style>
  <w:style w:type="character" w:styleId="BaseNTok">
    <w:name w:val="BaseNTok"/>
    <w:basedOn w:val="VerbatimChar"/>
    <w:qFormat/>
    <w:rPr>
      <w:color w:val="0000CF"/>
      <w:highlight w:val="white"/>
    </w:rPr>
  </w:style>
  <w:style w:type="character" w:styleId="FloatTok">
    <w:name w:val="FloatTok"/>
    <w:basedOn w:val="VerbatimChar"/>
    <w:qFormat/>
    <w:rPr>
      <w:color w:val="0000CF"/>
      <w:highlight w:val="white"/>
    </w:rPr>
  </w:style>
  <w:style w:type="character" w:styleId="ConstantTok">
    <w:name w:val="ConstantTok"/>
    <w:basedOn w:val="VerbatimChar"/>
    <w:qFormat/>
    <w:rPr>
      <w:color w:val="000000"/>
      <w:highlight w:val="white"/>
    </w:rPr>
  </w:style>
  <w:style w:type="character" w:styleId="CharTok">
    <w:name w:val="CharTok"/>
    <w:basedOn w:val="VerbatimChar"/>
    <w:qFormat/>
    <w:rPr>
      <w:color w:val="4E9A06"/>
      <w:highlight w:val="white"/>
    </w:rPr>
  </w:style>
  <w:style w:type="character" w:styleId="SpecialCharTok">
    <w:name w:val="SpecialCharTok"/>
    <w:basedOn w:val="VerbatimChar"/>
    <w:qFormat/>
    <w:rPr>
      <w:color w:val="000000"/>
      <w:highlight w:val="white"/>
    </w:rPr>
  </w:style>
  <w:style w:type="character" w:styleId="StringTok">
    <w:name w:val="StringTok"/>
    <w:basedOn w:val="VerbatimChar"/>
    <w:qFormat/>
    <w:rPr>
      <w:color w:val="4E9A06"/>
      <w:highlight w:val="white"/>
    </w:rPr>
  </w:style>
  <w:style w:type="character" w:styleId="VerbatimStringTok">
    <w:name w:val="VerbatimStringTok"/>
    <w:basedOn w:val="VerbatimChar"/>
    <w:qFormat/>
    <w:rPr>
      <w:color w:val="4E9A06"/>
      <w:highlight w:val="white"/>
    </w:rPr>
  </w:style>
  <w:style w:type="character" w:styleId="SpecialStringTok">
    <w:name w:val="SpecialStringTok"/>
    <w:basedOn w:val="VerbatimChar"/>
    <w:qFormat/>
    <w:rPr>
      <w:color w:val="4E9A06"/>
      <w:highlight w:val="white"/>
    </w:rPr>
  </w:style>
  <w:style w:type="character" w:styleId="ImportTok">
    <w:name w:val="ImportTok"/>
    <w:basedOn w:val="VerbatimChar"/>
    <w:qFormat/>
    <w:rPr>
      <w:highlight w:val="white"/>
    </w:rPr>
  </w:style>
  <w:style w:type="character" w:styleId="CommentTok">
    <w:name w:val="CommentTok"/>
    <w:basedOn w:val="VerbatimChar"/>
    <w:qFormat/>
    <w:rPr>
      <w:i/>
      <w:color w:val="8F5902"/>
      <w:highlight w:val="white"/>
    </w:rPr>
  </w:style>
  <w:style w:type="character" w:styleId="DocumentationTok">
    <w:name w:val="DocumentationTok"/>
    <w:basedOn w:val="VerbatimChar"/>
    <w:qFormat/>
    <w:rPr>
      <w:b/>
      <w:i/>
      <w:color w:val="8F5902"/>
      <w:highlight w:val="white"/>
    </w:rPr>
  </w:style>
  <w:style w:type="character" w:styleId="AnnotationTok">
    <w:name w:val="AnnotationTok"/>
    <w:basedOn w:val="VerbatimChar"/>
    <w:qFormat/>
    <w:rPr>
      <w:b/>
      <w:i/>
      <w:color w:val="8F5902"/>
      <w:highlight w:val="white"/>
    </w:rPr>
  </w:style>
  <w:style w:type="character" w:styleId="CommentVarTok">
    <w:name w:val="CommentVarTok"/>
    <w:basedOn w:val="VerbatimChar"/>
    <w:qFormat/>
    <w:rPr>
      <w:b/>
      <w:i/>
      <w:color w:val="8F5902"/>
      <w:highlight w:val="white"/>
    </w:rPr>
  </w:style>
  <w:style w:type="character" w:styleId="OtherTok">
    <w:name w:val="OtherTok"/>
    <w:basedOn w:val="VerbatimChar"/>
    <w:qFormat/>
    <w:rPr>
      <w:color w:val="8F5902"/>
      <w:highlight w:val="white"/>
    </w:rPr>
  </w:style>
  <w:style w:type="character" w:styleId="FunctionTok">
    <w:name w:val="FunctionTok"/>
    <w:basedOn w:val="VerbatimChar"/>
    <w:qFormat/>
    <w:rPr>
      <w:color w:val="000000"/>
      <w:highlight w:val="white"/>
    </w:rPr>
  </w:style>
  <w:style w:type="character" w:styleId="VariableTok">
    <w:name w:val="VariableTok"/>
    <w:basedOn w:val="VerbatimChar"/>
    <w:qFormat/>
    <w:rPr>
      <w:color w:val="000000"/>
      <w:highlight w:val="white"/>
    </w:rPr>
  </w:style>
  <w:style w:type="character" w:styleId="ControlFlowTok">
    <w:name w:val="ControlFlowTok"/>
    <w:basedOn w:val="VerbatimChar"/>
    <w:qFormat/>
    <w:rPr>
      <w:b/>
      <w:color w:val="204A87"/>
      <w:highlight w:val="white"/>
    </w:rPr>
  </w:style>
  <w:style w:type="character" w:styleId="OperatorTok">
    <w:name w:val="OperatorTok"/>
    <w:basedOn w:val="VerbatimChar"/>
    <w:qFormat/>
    <w:rPr>
      <w:b/>
      <w:color w:val="CE5C00"/>
      <w:highlight w:val="white"/>
    </w:rPr>
  </w:style>
  <w:style w:type="character" w:styleId="BuiltInTok">
    <w:name w:val="BuiltInTok"/>
    <w:basedOn w:val="VerbatimChar"/>
    <w:qFormat/>
    <w:rPr>
      <w:highlight w:val="white"/>
    </w:rPr>
  </w:style>
  <w:style w:type="character" w:styleId="ExtensionTok">
    <w:name w:val="ExtensionTok"/>
    <w:basedOn w:val="VerbatimChar"/>
    <w:qFormat/>
    <w:rPr>
      <w:highlight w:val="white"/>
    </w:rPr>
  </w:style>
  <w:style w:type="character" w:styleId="PreprocessorTok">
    <w:name w:val="PreprocessorTok"/>
    <w:basedOn w:val="VerbatimChar"/>
    <w:qFormat/>
    <w:rPr>
      <w:i/>
      <w:color w:val="8F5902"/>
      <w:highlight w:val="white"/>
    </w:rPr>
  </w:style>
  <w:style w:type="character" w:styleId="AttributeTok">
    <w:name w:val="AttributeTok"/>
    <w:basedOn w:val="VerbatimChar"/>
    <w:qFormat/>
    <w:rPr>
      <w:color w:val="C4A000"/>
      <w:highlight w:val="white"/>
    </w:rPr>
  </w:style>
  <w:style w:type="character" w:styleId="RegionMarkerTok">
    <w:name w:val="RegionMarkerTok"/>
    <w:basedOn w:val="VerbatimChar"/>
    <w:qFormat/>
    <w:rPr>
      <w:highlight w:val="white"/>
    </w:rPr>
  </w:style>
  <w:style w:type="character" w:styleId="InformationTok">
    <w:name w:val="InformationTok"/>
    <w:basedOn w:val="VerbatimChar"/>
    <w:qFormat/>
    <w:rPr>
      <w:b/>
      <w:i/>
      <w:color w:val="8F5902"/>
      <w:highlight w:val="white"/>
    </w:rPr>
  </w:style>
  <w:style w:type="character" w:styleId="WarningTok">
    <w:name w:val="WarningTok"/>
    <w:basedOn w:val="VerbatimChar"/>
    <w:qFormat/>
    <w:rPr>
      <w:b/>
      <w:i/>
      <w:color w:val="8F5902"/>
      <w:highlight w:val="white"/>
    </w:rPr>
  </w:style>
  <w:style w:type="character" w:styleId="AlertTok">
    <w:name w:val="AlertTok"/>
    <w:basedOn w:val="VerbatimChar"/>
    <w:qFormat/>
    <w:rPr>
      <w:color w:val="EF2929"/>
      <w:highlight w:val="white"/>
    </w:rPr>
  </w:style>
  <w:style w:type="character" w:styleId="ErrorTok">
    <w:name w:val="ErrorTok"/>
    <w:basedOn w:val="VerbatimChar"/>
    <w:qFormat/>
    <w:rPr>
      <w:b/>
      <w:color w:val="A40000"/>
      <w:highlight w:val="white"/>
    </w:rPr>
  </w:style>
  <w:style w:type="character" w:styleId="NormalTok">
    <w:name w:val="NormalTok"/>
    <w:basedOn w:val="VerbatimChar"/>
    <w:qFormat/>
    <w:rPr>
      <w:highlight w:val="whit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>
    <w:name w:val="First Paragraph"/>
    <w:basedOn w:val="TextBody"/>
    <w:next w:val="TextBody"/>
    <w:qFormat/>
    <w:pPr/>
    <w:rPr/>
  </w:style>
  <w:style w:type="paragraph" w:styleId="Compact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Times New Roman" w:hAnsi="Times New Roman" w:eastAsia="Cambria" w:cs="DejaVu Sans"/>
      <w:b/>
      <w:bCs/>
      <w:color w:val="345A8A"/>
      <w:sz w:val="24"/>
      <w:szCs w:val="24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TextBody"/>
    <w:qFormat/>
    <w:pPr>
      <w:keepNext w:val="true"/>
      <w:keepLines/>
      <w:widowControl/>
      <w:kinsoku w:val="true"/>
      <w:overflowPunct w:val="true"/>
      <w:autoSpaceDE w:val="true"/>
      <w:bidi w:val="0"/>
      <w:spacing w:before="0" w:after="200"/>
      <w:jc w:val="center"/>
    </w:pPr>
    <w:rPr>
      <w:rFonts w:ascii="Cambria" w:hAnsi="Cambria" w:eastAsia="Cambria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kinsoku w:val="true"/>
      <w:overflowPunct w:val="true"/>
      <w:autoSpaceDE w:val="true"/>
      <w:bidi w:val="0"/>
      <w:spacing w:before="0" w:after="200"/>
      <w:jc w:val="center"/>
    </w:pPr>
    <w:rPr>
      <w:rFonts w:ascii="Cambria" w:hAnsi="Cambria" w:eastAsia="Cambria"/>
      <w:color w:val="auto"/>
      <w:kern w:val="0"/>
      <w:sz w:val="24"/>
      <w:szCs w:val="24"/>
      <w:lang w:val="en-US" w:eastAsia="en-US" w:bidi="ar-SA"/>
    </w:rPr>
  </w:style>
  <w:style w:type="paragraph" w:styleId="Abstract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qFormat/>
    <w:pPr>
      <w:spacing w:before="100" w:after="100"/>
      <w:ind w:left="0" w:right="0" w:hanging="0"/>
    </w:pPr>
    <w:rPr>
      <w:rFonts w:ascii="Calibri" w:hAnsi="Calibri" w:eastAsia="Cambria" w:cs="DejaVu Sans"/>
      <w:bCs/>
      <w:sz w:val="20"/>
      <w:szCs w:val="20"/>
    </w:rPr>
  </w:style>
  <w:style w:type="paragraph" w:styleId="Footnote">
    <w:name w:val="Footnote Text"/>
    <w:basedOn w:val="Normal"/>
    <w:pPr/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qFormat/>
    <w:pPr>
      <w:spacing w:lineRule="auto" w:line="259" w:before="240" w:after="0"/>
    </w:pPr>
    <w:rPr>
      <w:rFonts w:ascii="Calibri" w:hAnsi="Calibri" w:eastAsia="Cambria" w:cs="DejaVu Sans"/>
      <w:b w:val="false"/>
      <w:bCs w:val="false"/>
      <w:color w:val="365F91"/>
    </w:rPr>
  </w:style>
  <w:style w:type="paragraph" w:styleId="SourceCode">
    <w:name w:val="Source Code"/>
    <w:basedOn w:val="Normal"/>
    <w:qFormat/>
    <w:pPr>
      <w:shd w:fill="F8F8F8" w:val="clea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LibreOffice/6.4.3.2$Linux_X86_64 LibreOffice_project/40$Build-2</Application>
  <Pages>10</Pages>
  <Words>869</Words>
  <Characters>4417</Characters>
  <CharactersWithSpaces>5231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2020-05-30T17:44:23Z</dcterms:created>
  <dc:creator>D. Mantopoulou-Palouka and G. Tserpes</dc:creator>
  <dc:description/>
  <dc:language>en-US</dc:language>
  <cp:lastModifiedBy/>
  <dcterms:modified xsi:type="dcterms:W3CDTF">2020-05-31T18:54:55Z</dcterms:modified>
  <cp:revision>2</cp:revision>
  <dc:subject/>
  <dc:title>a4a final runs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