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jc w:val="both"/>
        <w:rPr>
          <w:b/>
          <w:lang w:val="en-us"/>
        </w:rPr>
      </w:pPr>
      <w:r>
        <w:rPr>
          <w:b/>
          <w:lang w:val="en-us"/>
        </w:rPr>
      </w:r>
    </w:p>
    <w:p>
      <w:pPr>
        <w:spacing/>
        <w:jc w:val="both"/>
        <w:rPr>
          <w:b/>
          <w:i/>
          <w:lang w:val="en-us"/>
        </w:rPr>
      </w:pPr>
      <w:r>
        <w:rPr>
          <w:b/>
          <w:lang w:val="en-us"/>
        </w:rPr>
        <w:t>5. Stock status results</w:t>
      </w:r>
      <w:r>
        <w:rPr>
          <w:b/>
          <w:i/>
          <w:lang w:val="en-us"/>
        </w:rPr>
      </w:r>
    </w:p>
    <w:p>
      <w:pPr>
        <w:spacing/>
        <w:jc w:val="both"/>
        <w:rPr>
          <w:b/>
          <w:i/>
          <w:lang w:val="en-us"/>
        </w:rPr>
      </w:pPr>
      <w:r>
        <w:rPr>
          <w:b/>
          <w:i/>
          <w:lang w:val="en-us"/>
        </w:rPr>
      </w:r>
    </w:p>
    <w:p>
      <w:pPr>
        <w:spacing w:line="331"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i/>
          <w:color w:val="000000"/>
          <w:kern w:val="1"/>
          <w:lang w:val="en-us"/>
        </w:rPr>
      </w:pPr>
      <w:r>
        <w:rPr>
          <w:rFonts w:eastAsia="Times New Roman"/>
          <w:b/>
          <w:bCs/>
          <w:i/>
          <w:color w:val="000000"/>
          <w:kern w:val="1"/>
          <w:lang w:val="en-us"/>
        </w:rPr>
        <w:t>XSA (Extended Survivors Analysis)</w:t>
      </w:r>
    </w:p>
    <w:p>
      <w:pPr>
        <w:spacing w:line="331" w:lineRule="auto"/>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i/>
          <w:color w:val="000000"/>
          <w:kern w:val="1"/>
          <w:lang w:val="en-us"/>
        </w:rPr>
      </w:pPr>
      <w:r>
        <w:rPr>
          <w:rFonts w:eastAsia="Times New Roman"/>
          <w:b/>
          <w:bCs/>
          <w:i/>
          <w:color w:val="000000"/>
          <w:kern w:val="1"/>
          <w:lang w:val="en-us"/>
        </w:rPr>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kern w:val="1"/>
          <w:lang w:val="en-us"/>
        </w:rPr>
      </w:pPr>
      <w:r>
        <w:rPr>
          <w:rFonts w:eastAsia="Times New Roman"/>
          <w:color w:val="000000"/>
          <w:kern w:val="1"/>
          <w:lang w:val="en-us"/>
        </w:rPr>
        <w:t xml:space="preserve">Extended survival analysis (XSA) (Shepherd, 1992) is a tuned virtual population analysis (VPA) that uses information on individual cohort sizes to estimate survivors at each age in the terminal population. The method has been previously used for providing advice for the Mediterranean swordfish stock (ICCAT, 2015; 2017). </w:t>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kern w:val="1"/>
          <w:lang w:val="en-us"/>
        </w:rPr>
      </w:pPr>
      <w:r>
        <w:rPr>
          <w:rFonts w:eastAsia="Times New Roman"/>
          <w:kern w:val="1"/>
          <w:lang w:val="en-us"/>
        </w:rPr>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kern w:val="1"/>
          <w:lang w:val="en-us"/>
        </w:rPr>
      </w:pPr>
      <w:r>
        <w:rPr>
          <w:rFonts w:eastAsia="Times New Roman"/>
          <w:color w:val="000000"/>
          <w:kern w:val="1"/>
          <w:lang w:val="en-us"/>
        </w:rPr>
        <w:t>The Group reviewed the SCRS/2020/077, which provided preliminary assessments of the Mediterranean swordfish stock by means of XSA including model diagnostics and runs based on different scenarios. The assessments were conducted using XSA in R using the FLXSA package (part of the FLR-project, Kell et</w:t>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kern w:val="1"/>
          <w:lang w:val="en-us"/>
        </w:rPr>
      </w:pPr>
      <w:r>
        <w:rPr>
          <w:rFonts w:eastAsia="Times New Roman"/>
          <w:color w:val="000000"/>
          <w:kern w:val="1"/>
          <w:lang w:val="en-us"/>
        </w:rPr>
        <w:t xml:space="preserve">al., 2007; </w:t>
      </w:r>
      <w:hyperlink r:id="rId8" w:history="1">
        <w:r>
          <w:rPr>
            <w:rStyle w:val="char6"/>
            <w:rFonts w:eastAsia="Times New Roman"/>
            <w:kern w:val="1"/>
            <w:lang w:val="en-us"/>
          </w:rPr>
          <w:t>http://www.flr-project.org/</w:t>
        </w:r>
      </w:hyperlink>
      <w:r>
        <w:rPr>
          <w:rFonts w:eastAsia="Times New Roman"/>
          <w:color w:val="000000"/>
          <w:kern w:val="1"/>
          <w:lang w:val="en-us"/>
        </w:rPr>
        <w:t xml:space="preserve">). </w:t>
      </w:r>
      <w:r>
        <w:rPr>
          <w:rFonts w:ascii="Basic Roman" w:hAnsi="Basic Roman" w:eastAsia="Basic Roman" w:cs="Basic Roman"/>
          <w:kern w:val="1"/>
          <w:lang w:val="en-us"/>
        </w:rPr>
        <w:t>The available catch-at-size (CAS) data covered the period 1985-2018 and the catch at age (CAA) data were generated using a statistical approach similarly to the two previous assessments. In those past assessments, the statistical method was found to be preferable to the deterministic age slicing approach.</w:t>
      </w:r>
      <w:r>
        <w:rPr>
          <w:rFonts w:eastAsia="Times New Roman"/>
          <w:color w:val="000000"/>
          <w:kern w:val="1"/>
          <w:lang w:val="en-us"/>
        </w:rPr>
        <w:t xml:space="preserve"> The analysis included a continuity run having the same control settings and using CPUE series from the same fleets employed for tuning in the 2016 assessment. Four additional candidate runs were developed using all available CPUE series for the recent period and assuming either constant natural mortality (M), or an M vector based on Lorenzen formulation. Apart from using the available T1 data, candidate runs were also developed including discard estimates obtained from SCRS/2020/028. </w:t>
      </w:r>
      <w:r>
        <w:rPr>
          <w:rFonts w:eastAsia="Times New Roman"/>
          <w:color w:val="000000"/>
          <w:kern w:val="1"/>
          <w:lang w:val="en-us"/>
        </w:rPr>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t xml:space="preserve">Following discussions on the results of the various runs, the candidate runs assuming constant M with and without discards (discard run vs base run ) were considered as the most appropriate for obtaining stock estimates. A new version of the runs was accomplished including this time the standardized Spanish CPUE index expressed in terms of numbers, instead of biomass that was used in SCRS/2020/077. </w:t>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t xml:space="preserve">The runs considered four standardized CPUE series extending up to the latest years: Greek longliners (SCRS 2020/021), Moroccan longliners (SCRS 2020/026), Spanish longliners (SCRS 2020/043) and Ligurian longliners (SCRS 2020/027). The standardized CPUE indices were not differentiated by age and were considered to be representative of the 2-4 age-group abundances. Fleet catchability was assumed to be independent of year-class size for all terminal years. Regarding maturity, it was assumed assumed 15% and 65% maturation at ages 2 and 3 respectively. Full maturity was considered from age 4 onward. Weights-at-age were derived from the mixture analysis and were consistent with the CAA. The F range (fbar) was set to ages 2-4. Specific details regarding the configuration of the XSA runs are shown on </w:t>
      </w:r>
      <w:r>
        <w:rPr>
          <w:rFonts w:ascii="Basic Roman" w:hAnsi="Basic Roman" w:eastAsia="Basic Roman" w:cs="Basic Roman"/>
          <w:b/>
          <w:highlight w:val="yellow"/>
          <w:bCs/>
          <w:kern w:val="1"/>
          <w:lang w:val="en-us"/>
        </w:rPr>
        <w:t>Table XX</w:t>
      </w:r>
      <w:r>
        <w:rPr>
          <w:rFonts w:ascii="Basic Roman" w:hAnsi="Basic Roman" w:eastAsia="Basic Roman" w:cs="Basic Roman"/>
          <w:b/>
          <w:bCs/>
          <w:kern w:val="1"/>
          <w:lang w:val="en-us"/>
        </w:rPr>
        <w:t>:</w:t>
      </w:r>
      <w:r>
        <w:rPr>
          <w:rFonts w:ascii="Basic Roman" w:hAnsi="Basic Roman" w:eastAsia="Basic Roman" w:cs="Basic Roman"/>
          <w:kern w:val="1"/>
          <w:lang w:val="en-us"/>
        </w:rPr>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t xml:space="preserve">The CPUE series used in the calibration of the XSA runs are shown in </w:t>
      </w:r>
      <w:r>
        <w:rPr>
          <w:rFonts w:ascii="Basic Roman" w:hAnsi="Basic Roman" w:eastAsia="Basic Roman" w:cs="Basic Roman"/>
          <w:b/>
          <w:bCs/>
          <w:kern w:val="1"/>
          <w:lang w:val="en-us"/>
        </w:rPr>
        <w:t>Figure 1</w:t>
      </w:r>
      <w:r>
        <w:rPr>
          <w:rFonts w:ascii="Basic Roman" w:hAnsi="Basic Roman" w:eastAsia="Basic Roman" w:cs="Basic Roman"/>
          <w:kern w:val="1"/>
          <w:lang w:val="en-us"/>
        </w:rPr>
        <w:t xml:space="preserve">. Regarding the base run, </w:t>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t xml:space="preserve">estimates of recruitment, SSB, catch and fishing mortality are shown in </w:t>
      </w:r>
      <w:r>
        <w:rPr>
          <w:rFonts w:ascii="Basic Roman" w:hAnsi="Basic Roman" w:eastAsia="Basic Roman" w:cs="Basic Roman"/>
          <w:b/>
          <w:bCs/>
          <w:kern w:val="1"/>
          <w:lang w:val="en-us"/>
        </w:rPr>
        <w:t>Figure 2</w:t>
      </w:r>
      <w:r>
        <w:rPr>
          <w:rFonts w:ascii="Basic Roman" w:hAnsi="Basic Roman" w:eastAsia="Basic Roman" w:cs="Basic Roman"/>
          <w:kern w:val="1"/>
          <w:lang w:val="en-us"/>
        </w:rPr>
        <w:t xml:space="preserve">, while stock number and F-at-age estimates by year are provided in </w:t>
      </w:r>
      <w:r>
        <w:rPr>
          <w:rFonts w:ascii="Basic Roman" w:hAnsi="Basic Roman" w:eastAsia="Basic Roman" w:cs="Basic Roman"/>
          <w:b/>
          <w:bCs/>
          <w:kern w:val="1"/>
          <w:lang w:val="en-us"/>
        </w:rPr>
        <w:t>Appendix 4.</w:t>
      </w:r>
      <w:r>
        <w:rPr>
          <w:rFonts w:ascii="Basic Roman" w:hAnsi="Basic Roman" w:eastAsia="Basic Roman" w:cs="Basic Roman"/>
          <w:kern w:val="1"/>
          <w:lang w:val="en-us"/>
        </w:rPr>
        <w:t xml:space="preserve"> Results indicate that recruitment follows a decreasing trend, particularly in the last decade while current SSB levels are less than half of those observed at the beginning of the period. Fishing mortality in the most recent years is slightly lower than previously observed. Various diagnostic plots indicating the goodness of fit of the CPUE residuals are shown in </w:t>
      </w:r>
      <w:r>
        <w:rPr>
          <w:rFonts w:ascii="Basic Roman" w:hAnsi="Basic Roman" w:eastAsia="Basic Roman" w:cs="Basic Roman"/>
          <w:b/>
          <w:bCs/>
          <w:kern w:val="1"/>
          <w:lang w:val="en-us"/>
        </w:rPr>
        <w:t>Figures 3-10.</w:t>
      </w:r>
      <w:r>
        <w:rPr>
          <w:rFonts w:ascii="Basic Roman" w:hAnsi="Basic Roman" w:eastAsia="Basic Roman" w:cs="Basic Roman"/>
          <w:kern w:val="1"/>
          <w:lang w:val="en-us"/>
        </w:rPr>
        <w:t xml:space="preserve">  </w:t>
      </w:r>
      <w:r>
        <w:rPr>
          <w:rFonts w:ascii="Basic Roman" w:hAnsi="Basic Roman" w:eastAsia="Basic Roman" w:cs="Basic Roman"/>
          <w:b/>
          <w:bCs/>
          <w:kern w:val="1"/>
          <w:lang w:val="en-us"/>
        </w:rPr>
        <w:t xml:space="preserve">Figure 3 </w:t>
      </w:r>
      <w:r>
        <w:rPr>
          <w:rFonts w:ascii="Basic Roman" w:hAnsi="Basic Roman" w:eastAsia="Basic Roman" w:cs="Basic Roman"/>
          <w:kern w:val="1"/>
          <w:lang w:val="en-us"/>
        </w:rPr>
        <w:t xml:space="preserve">plots the residuals against fitted values to check the variance and </w:t>
      </w:r>
      <w:r>
        <w:rPr>
          <w:rFonts w:ascii="Basic Roman" w:hAnsi="Basic Roman" w:eastAsia="Basic Roman" w:cs="Basic Roman"/>
          <w:b/>
          <w:bCs/>
          <w:kern w:val="1"/>
          <w:lang w:val="en-us"/>
        </w:rPr>
        <w:t>Figure 4</w:t>
      </w:r>
      <w:r>
        <w:rPr>
          <w:rFonts w:ascii="Basic Roman" w:hAnsi="Basic Roman" w:eastAsia="Basic Roman" w:cs="Basic Roman"/>
          <w:kern w:val="1"/>
          <w:lang w:val="en-us"/>
        </w:rPr>
        <w:t xml:space="preserve"> plots the residuals against year to check for systematic patterns that may indicate a poor fit.  </w:t>
      </w:r>
      <w:r>
        <w:rPr>
          <w:rFonts w:ascii="Basic Roman" w:hAnsi="Basic Roman" w:eastAsia="Basic Roman" w:cs="Basic Roman"/>
          <w:b/>
          <w:bCs/>
          <w:kern w:val="1"/>
          <w:lang w:val="en-us"/>
        </w:rPr>
        <w:t>Figures 5-7</w:t>
      </w:r>
      <w:r>
        <w:rPr>
          <w:rFonts w:ascii="Basic Roman" w:hAnsi="Basic Roman" w:eastAsia="Basic Roman" w:cs="Basic Roman"/>
          <w:kern w:val="1"/>
          <w:lang w:val="en-us"/>
        </w:rPr>
        <w:t xml:space="preserve"> compare the fits to the observations for ages 2, 3 and 4, respectively; a good fit is indicated by the points falling along the y=x line (black line); the blue line is a linear regression fitted to the points (ideally, black and blue lines should coincide). </w:t>
      </w:r>
      <w:r>
        <w:rPr>
          <w:rFonts w:ascii="Basic Roman" w:hAnsi="Basic Roman" w:eastAsia="Basic Roman" w:cs="Basic Roman"/>
          <w:b/>
          <w:bCs/>
          <w:kern w:val="1"/>
          <w:lang w:val="en-us"/>
        </w:rPr>
        <w:t>Figure 8</w:t>
      </w:r>
      <w:r>
        <w:rPr>
          <w:rFonts w:ascii="Basic Roman" w:hAnsi="Basic Roman" w:eastAsia="Basic Roman" w:cs="Basic Roman"/>
          <w:kern w:val="1"/>
          <w:lang w:val="en-us"/>
        </w:rPr>
        <w:t xml:space="preserve"> checks for autocorrelation that may introduce bias and </w:t>
      </w:r>
      <w:r>
        <w:rPr>
          <w:rFonts w:ascii="Basic Roman" w:hAnsi="Basic Roman" w:eastAsia="Basic Roman" w:cs="Basic Roman"/>
          <w:b/>
          <w:bCs/>
          <w:kern w:val="1"/>
          <w:lang w:val="en-us"/>
        </w:rPr>
        <w:t>Figure 9</w:t>
      </w:r>
      <w:r>
        <w:rPr>
          <w:rFonts w:ascii="Basic Roman" w:hAnsi="Basic Roman" w:eastAsia="Basic Roman" w:cs="Basic Roman"/>
          <w:kern w:val="1"/>
          <w:lang w:val="en-us"/>
        </w:rPr>
        <w:t xml:space="preserve"> includes QQ plots aiming to  check for log-normality. </w:t>
      </w:r>
      <w:r>
        <w:rPr>
          <w:rFonts w:ascii="Basic Roman" w:hAnsi="Basic Roman" w:eastAsia="Basic Roman" w:cs="Basic Roman"/>
          <w:b/>
          <w:bCs/>
          <w:kern w:val="1"/>
          <w:lang w:val="en-us"/>
        </w:rPr>
        <w:t>Figure 10</w:t>
      </w:r>
      <w:r>
        <w:rPr>
          <w:rFonts w:ascii="Basic Roman" w:hAnsi="Basic Roman" w:eastAsia="Basic Roman" w:cs="Basic Roman"/>
          <w:kern w:val="1"/>
          <w:lang w:val="en-us"/>
        </w:rPr>
        <w:t xml:space="preserve"> shows the relative weighting for each terminal year Ns by CPUE observation. It should be noted here, that XSA uses inverse variance weighting in that CPUE series with poor fits are down-weighted in the fit.. The retrospective analyses performed in </w:t>
      </w:r>
      <w:r>
        <w:rPr>
          <w:rFonts w:ascii="Basic Roman" w:hAnsi="Basic Roman" w:eastAsia="Basic Roman" w:cs="Basic Roman"/>
          <w:b/>
          <w:bCs/>
          <w:kern w:val="1"/>
          <w:lang w:val="en-us"/>
        </w:rPr>
        <w:t>Figure 11</w:t>
      </w:r>
      <w:r>
        <w:rPr>
          <w:rFonts w:ascii="Basic Roman" w:hAnsi="Basic Roman" w:eastAsia="Basic Roman" w:cs="Basic Roman"/>
          <w:kern w:val="1"/>
          <w:lang w:val="en-us"/>
        </w:rPr>
        <w:t xml:space="preserve"> does not show any particular pattern except in the case of recruitment, where discrepancies are observed. </w:t>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t>............................................................</w:t>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r>
    </w:p>
    <w:p>
      <w:pPr>
        <w:spacing w:line="331" w:lineRule="auto"/>
        <w:jc w:val="both"/>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eastAsia="Basic Roman" w:cs="Basic Roman"/>
          <w:kern w:val="1"/>
          <w:lang w:val="en-us"/>
        </w:rPr>
      </w:pPr>
      <w:r>
        <w:rPr>
          <w:rFonts w:ascii="Basic Roman" w:hAnsi="Basic Roman" w:eastAsia="Basic Roman" w:cs="Basic Roman"/>
          <w:kern w:val="1"/>
          <w:lang w:val="en-us"/>
        </w:rPr>
      </w:r>
    </w:p>
    <w:sectPr>
      <w:footnotePr>
        <w:pos w:val="pageBottom"/>
        <w:numFmt w:val="decimal"/>
        <w:numStart w:val="1"/>
        <w:numRestart w:val="continuous"/>
      </w:footnotePr>
      <w:endnotePr>
        <w:pos w:val="docEnd"/>
        <w:numFmt w:val="decimal"/>
        <w:numStart w:val="1"/>
        <w:numRestart w:val="continuous"/>
      </w:endnotePr>
      <w:type w:val="nextPage"/>
      <w:pgSz w:h="16838" w:w="11906"/>
      <w:pgMar w:left="1701" w:top="1417" w:right="1701" w:bottom="1417" w:header="0" w:footer="0"/>
      <w:paperSrc w:first="0" w:other="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Calibri Light">
    <w:charset w:val="00"/>
    <w:family w:val="swiss"/>
    <w:pitch w:val="default"/>
  </w:font>
  <w:font w:name="Times New Roman">
    <w:charset w:val="00"/>
    <w:family w:val="roman"/>
    <w:pitch w:val="default"/>
  </w:font>
  <w:font w:name="Calibri">
    <w:charset w:val="00"/>
    <w:family w:val="swiss"/>
    <w:pitch w:val="default"/>
  </w:font>
  <w:font w:name="Segoe UI">
    <w:charset w:val="00"/>
    <w:family w:val="swiss"/>
    <w:pitch w:val="default"/>
  </w:font>
  <w:font w:name="Courier">
    <w:charset w:val="00"/>
    <w:family w:val="modern"/>
    <w:pitch w:val="default"/>
  </w:font>
  <w:font w:name="Arial">
    <w:charset w:val="00"/>
    <w:family w:val="roman"/>
    <w:pitch w:val="default"/>
  </w:font>
  <w:font w:name="Wingdings">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compatSetting w:name="compatibilityMode" w:uri="http://schemas.microsoft.com/office/word" w:val="15"/>
  <w:shapeDefaults>
    <o:shapedefaults v:ext="edit" spidmax="1026"/>
    <o:shapelayout v:ext="edit">
      <o:rules v:ext="edit"/>
    </o:shapelayout>
  </w:shapeDefaults>
  <w:tmPrefOne w:val="17"/>
  <w:tmPrefTwo w:val="1"/>
  <w:tmFmtPref w:val="55065707"/>
  <w:tmCommentsPr>
    <w:tmCommentsPlace w:val="0"/>
    <w:tmCommentsWidth w:val="3119"/>
    <w:tmCommentsColor w:val="-1"/>
  </w:tmCommentsPr>
  <w:tmReviewPr>
    <w:tmReviewEnabled w:val="0"/>
    <w:tmReviewShow w:val="1"/>
    <w:tmReviewPrint w:val="0"/>
    <w:tmRevisionNum w:val="20"/>
    <w:tmReviewMarkIns w:val="4"/>
    <w:tmReviewColorIns w:val="-1"/>
    <w:tmReviewMarkDel w:val="6"/>
    <w:tmReviewColorDel w:val="-1"/>
    <w:tmReviewMarkFmt w:val="1"/>
    <w:tmReviewColorFmt w:val="-1"/>
    <w:tmReviewMarkLn w:val="1"/>
    <w:tmReviewColorLn w:val="0"/>
    <w:tmReviewToolTip w:val="0"/>
  </w:tmReviewPr>
  <w:tmLastPos>
    <w:tmLastPosPage w:val="1"/>
    <w:tmLastPosSelect w:val="0"/>
    <w:tmLastPosFrameIdx w:val="0"/>
    <w:tmLastPosCaret>
      <w:tmLastPosPgfIdx w:val="15"/>
      <w:tmLastPosIdx w:val="992"/>
    </w:tmLastPosCaret>
    <w:tmLastPosAnchor>
      <w:tmLastPosPgfIdx w:val="0"/>
      <w:tmLastPosIdx w:val="0"/>
    </w:tmLastPosAnchor>
    <w:tmLastPosTblRect w:left="0" w:top="0" w:right="0" w:bottom="0"/>
  </w:tmLastPos>
  <w:tmAppRevision w:date="1590648579" w:val="976" w:fileVer="342" w:fileVer64="64" w:fileVerOS="3"/>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Basic Roman"/>
        <w:sz w:val="22"/>
        <w:szCs w:val="22"/>
        <w:lang w:val="pt-br"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cs="Times New Roman"/>
      <w:sz w:val="20"/>
      <w:szCs w:val="20"/>
      <w:lang w:val="es-es"/>
    </w:rPr>
  </w:style>
  <w:style w:type="paragraph" w:styleId="para1">
    <w:name w:val="Balloon Text"/>
    <w:qFormat/>
    <w:basedOn w:val="para0"/>
    <w:rPr>
      <w:rFonts w:ascii="Segoe UI" w:hAnsi="Segoe UI" w:cs="Segoe UI"/>
      <w:sz w:val="18"/>
      <w:szCs w:val="18"/>
    </w:rPr>
  </w:style>
  <w:style w:type="paragraph" w:styleId="para2" w:customStyle="1">
    <w:name w:val="annotation text"/>
    <w:qFormat/>
    <w:basedOn w:val="para0"/>
    <w:pPr>
      <w:suppressAutoHyphens/>
      <w:hyphenationLines w:val="0"/>
      <w:widowControl w:val="0"/>
    </w:pPr>
    <w:rPr>
      <w:rFonts w:ascii="Courier" w:hAnsi="Courier" w:cs="Courier"/>
      <w:sz w:val="22"/>
      <w:szCs w:val="22"/>
      <w:lang w:val="pt-br"/>
    </w:rPr>
  </w:style>
  <w:style w:type="paragraph" w:styleId="para3" w:customStyle="1">
    <w:name w:val="annotation subject"/>
    <w:qFormat/>
    <w:basedOn w:val="para2"/>
    <w:next w:val="para2"/>
    <w:pPr>
      <w:widowControl/>
    </w:pPr>
    <w:rPr>
      <w:rFonts w:ascii="Times New Roman" w:hAnsi="Times New Roman" w:cs="Times New Roman"/>
      <w:b/>
      <w:bCs/>
      <w:sz w:val="20"/>
      <w:szCs w:val="20"/>
      <w:lang w:val="es-es"/>
    </w:rPr>
  </w:style>
  <w:style w:type="paragraph" w:styleId="para4">
    <w:name w:val="Comment Text"/>
    <w:qFormat/>
    <w:basedOn w:val="para0"/>
  </w:style>
  <w:style w:type="paragraph" w:styleId="para5">
    <w:name w:val="Comment Subject"/>
    <w:qFormat/>
    <w:basedOn w:val="para4"/>
    <w:next w:val="para4"/>
    <w:rPr>
      <w:b/>
      <w:bCs/>
    </w:rPr>
  </w:style>
  <w:style w:type="character" w:styleId="char0" w:default="1">
    <w:name w:val="Default Paragraph Font"/>
  </w:style>
  <w:style w:type="character" w:styleId="char1" w:customStyle="1">
    <w:name w:val="Texto de balão Char"/>
    <w:basedOn w:val="char0"/>
    <w:rPr>
      <w:rFonts w:ascii="Segoe UI" w:hAnsi="Segoe UI" w:eastAsia="Calibri" w:cs="Segoe UI"/>
      <w:sz w:val="18"/>
      <w:szCs w:val="18"/>
      <w:lang w:val="es-es"/>
    </w:rPr>
  </w:style>
  <w:style w:type="character" w:styleId="char2" w:customStyle="1">
    <w:name w:val="annotation reference"/>
    <w:basedOn w:val="char0"/>
    <w:rPr>
      <w:sz w:val="16"/>
      <w:szCs w:val="16"/>
    </w:rPr>
  </w:style>
  <w:style w:type="character" w:styleId="char3" w:customStyle="1">
    <w:name w:val="Texto de comentário Char"/>
    <w:basedOn w:val="char0"/>
    <w:rPr>
      <w:rFonts w:ascii="Courier" w:hAnsi="Courier" w:cs="Courier"/>
    </w:rPr>
  </w:style>
  <w:style w:type="character" w:styleId="char4" w:customStyle="1">
    <w:name w:val="Texto de comentário Char1"/>
    <w:basedOn w:val="char0"/>
    <w:rPr>
      <w:rFonts w:ascii="Times New Roman" w:hAnsi="Times New Roman" w:eastAsia="Calibri" w:cs="Times New Roman"/>
      <w:sz w:val="20"/>
      <w:szCs w:val="20"/>
      <w:lang w:val="es-es"/>
    </w:rPr>
  </w:style>
  <w:style w:type="character" w:styleId="char5" w:customStyle="1">
    <w:name w:val="Assunto do comentário Char"/>
    <w:basedOn w:val="char3"/>
    <w:rPr>
      <w:rFonts w:ascii="Times New Roman" w:hAnsi="Times New Roman" w:cs="Times New Roman"/>
      <w:b/>
      <w:bCs/>
      <w:sz w:val="20"/>
      <w:szCs w:val="20"/>
      <w:lang w:val="es-es"/>
    </w:rPr>
  </w:style>
  <w:style w:type="character" w:styleId="char6">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hAnsi="Calibri" w:eastAsia="Calibri" w:cs="Basic Roman"/>
        <w:sz w:val="22"/>
        <w:szCs w:val="22"/>
        <w:lang w:val="pt-br"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cs="Times New Roman"/>
      <w:sz w:val="20"/>
      <w:szCs w:val="20"/>
      <w:lang w:val="es-es"/>
    </w:rPr>
  </w:style>
  <w:style w:type="paragraph" w:styleId="para1">
    <w:name w:val="Balloon Text"/>
    <w:qFormat/>
    <w:basedOn w:val="para0"/>
    <w:rPr>
      <w:rFonts w:ascii="Segoe UI" w:hAnsi="Segoe UI" w:cs="Segoe UI"/>
      <w:sz w:val="18"/>
      <w:szCs w:val="18"/>
    </w:rPr>
  </w:style>
  <w:style w:type="paragraph" w:styleId="para2" w:customStyle="1">
    <w:name w:val="annotation text"/>
    <w:qFormat/>
    <w:basedOn w:val="para0"/>
    <w:pPr>
      <w:suppressAutoHyphens/>
      <w:hyphenationLines w:val="0"/>
      <w:widowControl w:val="0"/>
    </w:pPr>
    <w:rPr>
      <w:rFonts w:ascii="Courier" w:hAnsi="Courier" w:cs="Courier"/>
      <w:sz w:val="22"/>
      <w:szCs w:val="22"/>
      <w:lang w:val="pt-br"/>
    </w:rPr>
  </w:style>
  <w:style w:type="paragraph" w:styleId="para3" w:customStyle="1">
    <w:name w:val="annotation subject"/>
    <w:qFormat/>
    <w:basedOn w:val="para2"/>
    <w:next w:val="para2"/>
    <w:pPr>
      <w:widowControl/>
    </w:pPr>
    <w:rPr>
      <w:rFonts w:ascii="Times New Roman" w:hAnsi="Times New Roman" w:cs="Times New Roman"/>
      <w:b/>
      <w:bCs/>
      <w:sz w:val="20"/>
      <w:szCs w:val="20"/>
      <w:lang w:val="es-es"/>
    </w:rPr>
  </w:style>
  <w:style w:type="paragraph" w:styleId="para4">
    <w:name w:val="Comment Text"/>
    <w:qFormat/>
    <w:basedOn w:val="para0"/>
  </w:style>
  <w:style w:type="paragraph" w:styleId="para5">
    <w:name w:val="Comment Subject"/>
    <w:qFormat/>
    <w:basedOn w:val="para4"/>
    <w:next w:val="para4"/>
    <w:rPr>
      <w:b/>
      <w:bCs/>
    </w:rPr>
  </w:style>
  <w:style w:type="character" w:styleId="char0" w:default="1">
    <w:name w:val="Default Paragraph Font"/>
  </w:style>
  <w:style w:type="character" w:styleId="char1" w:customStyle="1">
    <w:name w:val="Texto de balão Char"/>
    <w:basedOn w:val="char0"/>
    <w:rPr>
      <w:rFonts w:ascii="Segoe UI" w:hAnsi="Segoe UI" w:eastAsia="Calibri" w:cs="Segoe UI"/>
      <w:sz w:val="18"/>
      <w:szCs w:val="18"/>
      <w:lang w:val="es-es"/>
    </w:rPr>
  </w:style>
  <w:style w:type="character" w:styleId="char2" w:customStyle="1">
    <w:name w:val="annotation reference"/>
    <w:basedOn w:val="char0"/>
    <w:rPr>
      <w:sz w:val="16"/>
      <w:szCs w:val="16"/>
    </w:rPr>
  </w:style>
  <w:style w:type="character" w:styleId="char3" w:customStyle="1">
    <w:name w:val="Texto de comentário Char"/>
    <w:basedOn w:val="char0"/>
    <w:rPr>
      <w:rFonts w:ascii="Courier" w:hAnsi="Courier" w:cs="Courier"/>
    </w:rPr>
  </w:style>
  <w:style w:type="character" w:styleId="char4" w:customStyle="1">
    <w:name w:val="Texto de comentário Char1"/>
    <w:basedOn w:val="char0"/>
    <w:rPr>
      <w:rFonts w:ascii="Times New Roman" w:hAnsi="Times New Roman" w:eastAsia="Calibri" w:cs="Times New Roman"/>
      <w:sz w:val="20"/>
      <w:szCs w:val="20"/>
      <w:lang w:val="es-es"/>
    </w:rPr>
  </w:style>
  <w:style w:type="character" w:styleId="char5" w:customStyle="1">
    <w:name w:val="Assunto do comentário Char"/>
    <w:basedOn w:val="char3"/>
    <w:rPr>
      <w:rFonts w:ascii="Times New Roman" w:hAnsi="Times New Roman" w:cs="Times New Roman"/>
      <w:b/>
      <w:bCs/>
      <w:sz w:val="20"/>
      <w:szCs w:val="20"/>
      <w:lang w:val="es-es"/>
    </w:rPr>
  </w:style>
  <w:style w:type="character" w:styleId="char6">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www.fl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2018 rev.976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Mourato</dc:creator>
  <cp:keywords/>
  <dc:description/>
  <cp:lastModifiedBy>G. Tserpes</cp:lastModifiedBy>
  <cp:revision>20</cp:revision>
  <dcterms:created xsi:type="dcterms:W3CDTF">2020-05-26T11:11:00Z</dcterms:created>
  <dcterms:modified xsi:type="dcterms:W3CDTF">2020-05-28T06:49:39Z</dcterms:modified>
</cp:coreProperties>
</file>