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Style w:val="983"/>
        <w:pBdr/>
        <w:spacing/>
        <w:ind/>
        <w:rPr/>
      </w:pPr>
      <w:r>
        <w:rPr>
          <w:rFonts w:ascii="Cambria" w:hAnsi="Cambria"/>
          <w:bCs/>
          <w:sz w:val="20"/>
          <w:szCs w:val="20"/>
          <w14:ligatures w14:val="standardContextual"/>
        </w:rPr>
        <w:tab/>
      </w:r>
      <w:r>
        <w:t xml:space="preserve">ASSESSING MEDITERRANEAN SWORDFISH USING THE ASSESSMENT FOR ALL (a4a) MODEL</w:t>
      </w:r>
      <w:r/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/>
        <w:rPr>
          <w14:ligatures w14:val="standardContextual"/>
        </w:rPr>
      </w:pPr>
      <w:r>
        <w:rPr>
          <w:b/>
          <w:bCs/>
          <w:sz w:val="24"/>
          <w:szCs w:val="24"/>
          <w14:ligatures w14:val="standardContextual"/>
        </w:rPr>
        <w:t xml:space="preserve">    </w:t>
      </w:r>
      <w:r>
        <w:rPr>
          <w:b/>
          <w:bCs/>
          <w14:ligatures w14:val="standardContextual"/>
        </w:rPr>
        <w:t xml:space="preserve">     </w:t>
      </w:r>
      <w:r>
        <w:rPr>
          <w:b/>
          <w:bCs/>
          <w14:ligatures w14:val="standardContextual"/>
        </w:rPr>
        <w:tab/>
      </w:r>
      <w:r>
        <w:rPr>
          <w14:ligatures w14:val="standardContextual"/>
        </w:rPr>
      </w:r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eastAsia="Times New Roman"/>
          <w:lang w:val="pt-PT"/>
        </w:rPr>
      </w:pPr>
      <w:r>
        <w:rPr>
          <w:lang w:val="pt-PT"/>
        </w:rPr>
        <w:t xml:space="preserve">D. </w:t>
      </w:r>
      <w:r>
        <w:rPr>
          <w:lang w:val="pt-PT"/>
        </w:rPr>
        <w:t xml:space="preserve">Mantopoulou-Palouka</w:t>
      </w:r>
      <w:r>
        <w:rPr>
          <w:rStyle w:val="998"/>
        </w:rPr>
        <w:footnoteReference w:id="2"/>
      </w:r>
      <w:r>
        <w:rPr>
          <w:lang w:val="pt-PT"/>
        </w:rPr>
        <w:t xml:space="preserve">, G. </w:t>
      </w:r>
      <w:r>
        <w:rPr>
          <w:lang w:val="pt-PT"/>
        </w:rPr>
        <w:t xml:space="preserve">Tserpes</w:t>
      </w:r>
      <w:r>
        <w:rPr>
          <w:rStyle w:val="998"/>
        </w:rPr>
        <w:footnoteReference w:id="3"/>
      </w:r>
      <w:r>
        <w:rPr>
          <w:lang w:val="pt-PT"/>
        </w:rPr>
        <w:t xml:space="preserve">, A. Kimoto</w:t>
      </w:r>
      <w:r>
        <w:rPr>
          <w:rStyle w:val="998"/>
        </w:rPr>
        <w:footnoteReference w:id="4"/>
      </w:r>
      <w:r>
        <w:rPr>
          <w:lang w:val="pt-PT"/>
        </w:rPr>
        <w:t xml:space="preserve">, E. Jardim</w:t>
      </w:r>
      <w:r>
        <w:rPr>
          <w:rStyle w:val="998"/>
        </w:rPr>
        <w:footnoteReference w:id="5"/>
      </w:r>
      <w:r>
        <w:rPr>
          <w:rFonts w:eastAsia="Times New Roman"/>
          <w:lang w:val="pt-PT"/>
        </w:rPr>
      </w:r>
    </w:p>
    <w:p>
      <w:pPr>
        <w:pBdr/>
        <w:spacing w:after="0" w:line="240" w:lineRule="auto"/>
        <w:ind/>
        <w:jc w:val="center"/>
        <w:rPr>
          <w:lang w:val="pt-PT"/>
          <w14:ligatures w14:val="standardContextual"/>
        </w:rPr>
      </w:pPr>
      <w:r>
        <w:rPr>
          <w:lang w:val="pt-PT"/>
          <w14:ligatures w14:val="standardContextual"/>
        </w:rPr>
      </w:r>
      <w:r>
        <w:rPr>
          <w:lang w:val="pt-PT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lang w:val="pt-PT"/>
          <w14:ligatures w14:val="standardContextual"/>
        </w:rPr>
      </w:pPr>
      <w:r>
        <w:rPr>
          <w:lang w:val="pt-PT"/>
          <w14:ligatures w14:val="standardContextual"/>
        </w:rPr>
      </w:r>
      <w:r>
        <w:rPr>
          <w:lang w:val="pt-PT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i/>
          <w:szCs w:val="24"/>
          <w14:ligatures w14:val="standardContextual"/>
        </w:rPr>
      </w:pPr>
      <w:r>
        <w:rPr>
          <w:i/>
          <w:szCs w:val="24"/>
          <w14:ligatures w14:val="standardContextual"/>
        </w:rPr>
        <w:t xml:space="preserve">SUMMARY</w:t>
      </w:r>
      <w:r>
        <w:rPr>
          <w:i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i/>
          <w:szCs w:val="24"/>
          <w14:ligatures w14:val="standardContextual"/>
        </w:rPr>
      </w:pPr>
      <w:r>
        <w:rPr>
          <w:i/>
          <w:szCs w:val="24"/>
          <w14:ligatures w14:val="standardContextual"/>
        </w:rPr>
      </w:r>
      <w:r>
        <w:rPr>
          <w:i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 w:right="680" w:left="680"/>
        <w:jc w:val="both"/>
        <w:rPr>
          <w:i/>
          <w:szCs w:val="24"/>
          <w14:ligatures w14:val="standardContextual"/>
        </w:rPr>
      </w:pPr>
      <w:r>
        <w:rPr>
          <w:i/>
          <w:iCs/>
        </w:rPr>
        <w:t xml:space="preserve">Following the continuity update of the 2020 Mediterranean swordfish (</w:t>
      </w:r>
      <w:r>
        <w:t xml:space="preserve">Xiphias gladius</w:t>
      </w:r>
      <w:r>
        <w:rPr>
          <w:i/>
          <w:iCs/>
        </w:rPr>
        <w:t xml:space="preserve">) assessment, this document explores different </w:t>
      </w:r>
      <w:r>
        <w:rPr>
          <w:i/>
          <w:iCs/>
        </w:rPr>
        <w:t xml:space="preserve">submodel</w:t>
      </w:r>
      <w:r>
        <w:rPr>
          <w:i/>
          <w:iCs/>
        </w:rPr>
        <w:t xml:space="preserve"> configurations in the light of the new catch at age matrix, using the a4a statistical catch-at-age framework. The </w:t>
      </w:r>
      <w:r>
        <w:rPr>
          <w:i/>
          <w:iCs/>
        </w:rPr>
        <w:t xml:space="preserve">exploratory</w:t>
      </w:r>
      <w:r>
        <w:rPr>
          <w:i/>
          <w:iCs/>
        </w:rPr>
        <w:t xml:space="preserve"> runs address historical data coverage, different natural mortality assumptions, and time-varying selectivity. Specifically, we evaluate the impact of assuming an age-dependent Lorenzen natural mortality vector compared to a constant natural mortality (</w:t>
      </w:r>
      <m:oMath>
        <m:r>
          <w:rPr>
            <w:rFonts w:ascii="Cambria Math" w:hAnsi="Cambria Math"/>
          </w:rPr>
          <m:rPr/>
          <m:t>M</m:t>
        </m:r>
        <m:r>
          <w:rPr>
            <w:rFonts w:ascii="Cambria Math" w:hAnsi="Cambria Math"/>
          </w:rPr>
          <m:rPr>
            <m:sty m:val="p"/>
          </m:rPr>
          <m:t>=</m:t>
        </m:r>
        <m:r>
          <w:rPr>
            <w:rFonts w:ascii="Cambria Math" w:hAnsi="Cambria Math"/>
          </w:rPr>
          <m:rPr/>
          <m:t>0.2</m:t>
        </m:r>
      </m:oMath>
      <w:r>
        <w:rPr>
          <w:i/>
          <w:iCs/>
        </w:rPr>
        <w:t xml:space="preserve">). Additionally, a tensor product interaction is incorporated into the fishing mortality submodel to capture dynamic selectivity changes across age classes over time</w:t>
      </w:r>
      <w:r>
        <w:rPr>
          <w:i/>
          <w:iCs/>
        </w:rPr>
        <w:t xml:space="preserve">.</w:t>
      </w:r>
      <w:r>
        <w:rPr>
          <w:i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szCs w:val="24"/>
          <w14:ligatures w14:val="standardContextual"/>
        </w:rPr>
      </w:pPr>
      <w:r>
        <w:rPr>
          <w:i/>
          <w:szCs w:val="24"/>
          <w14:ligatures w14:val="standardContextual"/>
        </w:rPr>
        <w:t xml:space="preserve">KEYWORDS</w:t>
      </w:r>
      <w:r>
        <w:rPr>
          <w:szCs w:val="24"/>
          <w14:ligatures w14:val="standardContextual"/>
        </w:rPr>
        <w:t xml:space="preserve"> </w:t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/>
        <w:ind/>
        <w:jc w:val="center"/>
        <w:rPr/>
      </w:pPr>
      <w:r>
        <w:rPr>
          <w:i/>
          <w:iCs/>
        </w:rPr>
        <w:t xml:space="preserve">Swordfish, Mediterranean, Stock Assessment, a4a</w:t>
      </w:r>
      <w:r/>
    </w:p>
    <w:p>
      <w:pPr>
        <w:pBdr/>
        <w:spacing w:after="0" w:line="240" w:lineRule="auto"/>
        <w:ind/>
        <w:jc w:val="center"/>
        <w:rPr>
          <w:rFonts w:eastAsia="Times New Roman"/>
          <w:i/>
        </w:rPr>
      </w:pPr>
      <w:r>
        <w:rPr>
          <w:rFonts w:eastAsia="Times New Roman"/>
          <w:i/>
        </w:rPr>
      </w:r>
      <w:r>
        <w:rPr>
          <w:rFonts w:eastAsia="Times New Roman"/>
          <w:i/>
        </w:rPr>
      </w:r>
    </w:p>
    <w:p>
      <w:pPr>
        <w:pBdr/>
        <w:spacing w:after="0" w:line="240" w:lineRule="auto"/>
        <w:ind/>
        <w:rPr>
          <w:i/>
          <w14:ligatures w14:val="standardContextual"/>
        </w:rPr>
      </w:pPr>
      <w:r>
        <w:rPr>
          <w:i/>
          <w14:ligatures w14:val="standardContextual"/>
        </w:rPr>
        <w:t xml:space="preserve"> </w:t>
      </w:r>
      <w:r>
        <w:rPr>
          <w:i/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line="278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  <w:br w:type="page" w:clear="all"/>
      </w:r>
      <w:r>
        <w:rPr>
          <w:szCs w:val="24"/>
          <w14:ligatures w14:val="standardContextual"/>
        </w:rPr>
      </w:r>
    </w:p>
    <w:p>
      <w:pPr>
        <w:pStyle w:val="814"/>
        <w:pBdr/>
        <w:spacing/>
        <w:ind/>
        <w:rPr/>
      </w:pPr>
      <w:r>
        <w:t xml:space="preserve">Introduction</w:t>
      </w:r>
      <w:r/>
    </w:p>
    <w:p>
      <w:pPr>
        <w:pBdr/>
        <w:spacing w:after="0" w:line="240" w:lineRule="auto"/>
        <w:ind/>
        <w:jc w:val="both"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Assessments of the Mediterranean swordfish stock are performed using a statistical catch-at-age model developed under the Assessment for All (a4a) Initiative of the European Commission Joint Research Centre (Jardim et al., 2015). The a4a framework utili</w:t>
      </w:r>
      <w:r>
        <w:rPr>
          <w:szCs w:val="24"/>
          <w14:ligatures w14:val="standardContextual"/>
        </w:rPr>
        <w:t xml:space="preserve">zes catch-at-age data to derive estimates of historical population size and fishing mortality, allowing for flexible modeling of structural components through smooth functions (splines). a4a is a non-linear statistical catch-at-age model and is defined by </w:t>
      </w:r>
      <w:r>
        <w:rPr>
          <w:szCs w:val="24"/>
          <w14:ligatures w14:val="standardContextual"/>
        </w:rPr>
        <w:t xml:space="preserve">submodels</w:t>
      </w:r>
      <w:r>
        <w:rPr>
          <w:szCs w:val="24"/>
          <w14:ligatures w14:val="standardContextual"/>
        </w:rPr>
        <w:t xml:space="preserve">, which are the different parts that require structural assumptions. There are 5 </w:t>
      </w:r>
      <w:r>
        <w:rPr>
          <w:szCs w:val="24"/>
          <w14:ligatures w14:val="standardContextual"/>
        </w:rPr>
        <w:t xml:space="preserve">submodels</w:t>
      </w:r>
      <w:r>
        <w:rPr>
          <w:szCs w:val="24"/>
          <w14:ligatures w14:val="standardContextual"/>
        </w:rPr>
        <w:t xml:space="preserve"> in operation: F-at-age, abundance indices catchability-at-age, recruitment, observation variance of catch and abundance indices and population’s age structure in the first year. Modeling assumptions </w:t>
      </w:r>
      <w:r>
        <w:rPr>
          <w:szCs w:val="24"/>
          <w14:ligatures w14:val="standardContextual"/>
        </w:rPr>
        <w:t xml:space="preserve">include:</w:t>
      </w:r>
      <w:r>
        <w:rPr>
          <w:szCs w:val="24"/>
          <w14:ligatures w14:val="standardContextual"/>
        </w:rPr>
        <w:t xml:space="preserve"> Baranov’s equation for the catches, exponential decay of the population numbers and </w:t>
      </w:r>
      <w:r>
        <w:rPr>
          <w:szCs w:val="24"/>
          <w14:ligatures w14:val="standardContextual"/>
        </w:rPr>
        <w:t xml:space="preserve">log-normality</w:t>
      </w:r>
      <w:r>
        <w:rPr>
          <w:szCs w:val="24"/>
          <w14:ligatures w14:val="standardContextual"/>
        </w:rPr>
        <w:t xml:space="preserve"> of catch and abundance indices errors.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While the continuity run (SCRS/2026/169) maintained the strict structural assumptions of the 2020 assessment, preliminary analyses indicated that different </w:t>
      </w:r>
      <w:r>
        <w:rPr>
          <w:szCs w:val="24"/>
          <w14:ligatures w14:val="standardContextual"/>
        </w:rPr>
        <w:t xml:space="preserve">submodel</w:t>
      </w:r>
      <w:r>
        <w:rPr>
          <w:szCs w:val="24"/>
          <w14:ligatures w14:val="standardContextual"/>
        </w:rPr>
        <w:t xml:space="preserve"> configuration could improve model diagnostics and biological realism. In particular, the assumption of a constant natural mortality rate across all ages may not accurately reflect the higher mortality experie</w:t>
      </w:r>
      <w:r>
        <w:rPr>
          <w:szCs w:val="24"/>
          <w14:ligatures w14:val="standardContextual"/>
        </w:rPr>
        <w:t xml:space="preserve">nced by younger, smaller individuals. Furthermore, changes in fleet dynamics and targeting over the assessment period suggest that a separable age-year effect, which assumes constant selectivity over time for fishing mortality, might be overly restrictive.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This document presents two candidate models for the 2026 assessment: one assuming a constant natural mortal</w:t>
      </w:r>
      <w:r>
        <w:rPr>
          <w:szCs w:val="24"/>
          <w14:ligatures w14:val="standardContextual"/>
        </w:rPr>
        <w:t xml:space="preserve">ity vector (M=0.2), and another applying an age-differentiated natural mortality vector derived using the Lorenzen formula. Both models incorporate a tensor product to model time-varying selectivity, starting from 1985 to ensure data quality and stability.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:szCs w:val="24"/>
          <w14:ligatures w14:val="standardContextual"/>
        </w:rPr>
      </w:pPr>
      <w:r>
        <w:rPr>
          <w:b/>
          <w:bCs/>
          <w14:ligatures w14:val="standardContextual"/>
        </w:rPr>
        <w:t xml:space="preserve">1.</w:t>
      </w:r>
      <w:r>
        <w:rPr>
          <w:b/>
          <w:bCs/>
          <w14:ligatures w14:val="standardContextual"/>
        </w:rPr>
        <w:tab/>
        <w:t xml:space="preserve">Data and methods </w:t>
      </w:r>
      <w:r>
        <w:rPr>
          <w:b/>
          <w:bCs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Style w:val="989"/>
        <w:numPr>
          <w:ilvl w:val="1"/>
          <w:numId w:val="1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Input Data</w:t>
      </w:r>
      <w:r>
        <w:rPr>
          <w:b/>
          <w:bCs/>
          <w:i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The available catch-at-age (CAA) data covers the period 1985–2024. A plus group was set at age 9, which improved the stability of the different models tested and reduced residuals in catch-at-age numbers. The reference fishing mortality (</w:t>
      </w:r>
      <w:r>
        <w:rPr>
          <w:szCs w:val="24"/>
          <w14:ligatures w14:val="standardContextual"/>
        </w:rPr>
        <w:t xml:space="preserve">F‾)</w:t>
      </w:r>
      <w:r>
        <w:rPr>
          <w:szCs w:val="24"/>
          <w14:ligatures w14:val="standardContextual"/>
        </w:rPr>
        <w:t xml:space="preserve"> was averaged over ages 1-4.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Five standa</w:t>
      </w:r>
      <w:r>
        <w:rPr>
          <w:szCs w:val="24"/>
          <w14:ligatures w14:val="standardContextual"/>
        </w:rPr>
        <w:t xml:space="preserve">rdized CPUE series were considered as tuning indices: Greek longliners (GR_LL), Moroccan longliners (MO_LL), Spanish longliners (SP_LL), Ligurian longliners (LI_LL), and Sicilian longliners (SI_LL). These indices were considered representative of ages 1-4.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Two structural assumptions for natural mortality (M) were evaluated (</w:t>
      </w:r>
      <w:r>
        <w:rPr>
          <w:b/>
          <w:bCs/>
          <w:szCs w:val="24"/>
          <w14:ligatures w14:val="standardContextual"/>
        </w:rPr>
        <w:t xml:space="preserve">Figure</w:t>
      </w:r>
      <w:r>
        <w:rPr>
          <w:b/>
          <w:bCs/>
          <w:szCs w:val="24"/>
          <w14:ligatures w14:val="standardContextual"/>
        </w:rPr>
        <w:t xml:space="preserve"> 1</w:t>
      </w:r>
      <w:r>
        <w:rPr>
          <w:szCs w:val="24"/>
          <w14:ligatures w14:val="standardContextual"/>
        </w:rPr>
        <w:t xml:space="preserve">):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ab/>
        <w:t xml:space="preserve">1.</w:t>
      </w:r>
      <w:r>
        <w:rPr>
          <w:szCs w:val="24"/>
          <w14:ligatures w14:val="standardContextual"/>
        </w:rPr>
        <w:tab/>
      </w:r>
      <w:r>
        <w:rPr>
          <w:b/>
          <w:bCs/>
          <w:szCs w:val="24"/>
          <w14:ligatures w14:val="standardContextual"/>
        </w:rPr>
        <w:t xml:space="preserve">Constant M</w:t>
      </w:r>
      <w:r>
        <w:rPr>
          <w:szCs w:val="24"/>
          <w14:ligatures w14:val="standardContextual"/>
        </w:rPr>
        <w:t xml:space="preserve">: M=0.2 for all ages.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ab/>
        <w:t xml:space="preserve">2.</w:t>
      </w:r>
      <w:r>
        <w:rPr>
          <w:szCs w:val="24"/>
          <w14:ligatures w14:val="standardContextual"/>
        </w:rPr>
        <w:tab/>
      </w:r>
      <w:r>
        <w:rPr>
          <w:b/>
          <w:bCs/>
          <w:szCs w:val="24"/>
          <w14:ligatures w14:val="standardContextual"/>
        </w:rPr>
        <w:t xml:space="preserve">Lorenzen M</w:t>
      </w:r>
      <w:r>
        <w:rPr>
          <w:szCs w:val="24"/>
          <w14:ligatures w14:val="standardContextual"/>
        </w:rPr>
        <w:t xml:space="preserve">: Age-differentiated mortality, characterized by higher mortality at younger ages.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szCs w:val="24"/>
          <w14:ligatures w14:val="standardContextual"/>
        </w:rPr>
        <w:t xml:space="preserve">Maturity was specified as an ogive, with fish beginning to mature at age 2 and reaching full maturity by age 4.</w:t>
      </w:r>
      <w:r>
        <w:rPr>
          <w:b/>
          <w:i/>
          <w:szCs w:val="24"/>
          <w14:ligatures w14:val="standardContextual"/>
        </w:rPr>
        <w:t xml:space="preserve"> </w:t>
      </w:r>
      <w:r>
        <w:rPr>
          <w:b/>
          <w:bCs/>
          <w:i/>
          <w14:ligatures w14:val="standardContextual"/>
        </w:rPr>
      </w:r>
    </w:p>
    <w:p>
      <w:pPr>
        <w:pStyle w:val="989"/>
        <w:pBdr/>
        <w:tabs>
          <w:tab w:val="left" w:leader="none" w:pos="426"/>
        </w:tabs>
        <w:spacing w:after="0" w:line="240" w:lineRule="auto"/>
        <w:ind w:left="0"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Style w:val="1009"/>
        <w:pBdr/>
        <w:spacing/>
        <w:ind/>
        <w:rPr>
          <w:sz w:val="19"/>
          <w:szCs w:val="19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11434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77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084" cy="411434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5pt;height:323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</w:rPr>
        <w:t xml:space="preserve">Figure 1 </w:t>
      </w:r>
      <w:bookmarkStart w:id="0" w:name="inputData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0"/>
      <w:r>
        <w:rPr>
          <w:b/>
        </w:rPr>
        <w:t xml:space="preserve">: </w:t>
      </w:r>
      <w:r>
        <w:t xml:space="preserve">Input data summary. Left: Catch-at-age colored by decade. Top Right: Maturity ogive. Bottom Right: Natural Mortality vectors (Constant vs. Lorenzen).</w:t>
      </w:r>
      <w:r>
        <w:rPr>
          <w:sz w:val="19"/>
          <w:szCs w:val="19"/>
        </w:rPr>
      </w:r>
    </w:p>
    <w:p>
      <w:pPr>
        <w:pStyle w:val="989"/>
        <w:pBdr/>
        <w:tabs>
          <w:tab w:val="left" w:leader="none" w:pos="426"/>
        </w:tabs>
        <w:spacing w:after="0" w:line="240" w:lineRule="auto"/>
        <w:ind w:left="0"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1.2</w:t>
      </w:r>
      <w:r>
        <w:rPr>
          <w:b/>
          <w:i/>
          <w:szCs w:val="24"/>
          <w14:ligatures w14:val="standardContextual"/>
        </w:rPr>
        <w:tab/>
        <w:t xml:space="preserve">Model Specifications</w:t>
      </w:r>
      <w:r>
        <w:rPr>
          <w:b/>
          <w:bCs/>
          <w:i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iCs/>
          <w:szCs w:val="24"/>
          <w14:ligatures w14:val="standardContextual"/>
        </w:rPr>
        <w:t xml:space="preserve">The two primary candidate runs cover the period 1985–2024 using the identical model structure, differing only in their natural mortality vectors.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iCs/>
          <w:szCs w:val="24"/>
          <w14:ligatures w14:val="standardContextual"/>
        </w:rPr>
        <w:t xml:space="preserve">The fishing mortality (</w:t>
      </w:r>
      <w:r>
        <w:rPr>
          <w:i/>
          <w:iCs/>
          <w:szCs w:val="24"/>
          <w14:ligatures w14:val="standardContextual"/>
        </w:rPr>
        <w:t xml:space="preserve">F</w:t>
      </w:r>
      <w:r>
        <w:rPr>
          <w:iCs/>
          <w:szCs w:val="24"/>
          <w14:ligatures w14:val="standardContextual"/>
        </w:rPr>
        <w:t xml:space="preserve">) </w:t>
      </w:r>
      <w:r>
        <w:rPr>
          <w:iCs/>
          <w:szCs w:val="24"/>
          <w14:ligatures w14:val="standardContextual"/>
        </w:rPr>
        <w:t xml:space="preserve">submodel</w:t>
      </w:r>
      <w:r>
        <w:rPr>
          <w:iCs/>
          <w:szCs w:val="24"/>
          <w14:ligatures w14:val="standardContextual"/>
        </w:rPr>
        <w:t xml:space="preserve"> includes a tensor product interaction to accommodate changes in selectivity over time, combined with smoothers for year and age main effects: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i/>
        </w:rPr>
      </w:pPr>
      <w:r>
        <w:rPr>
          <w:i/>
          <w:iCs/>
          <w:szCs w:val="24"/>
          <w14:ligatures w14:val="standardContextual"/>
        </w:rPr>
        <w:t xml:space="preserve">F∼s(</w:t>
      </w:r>
      <w:r>
        <w:rPr>
          <w:i/>
          <w:iCs/>
          <w:szCs w:val="24"/>
          <w14:ligatures w14:val="standardContextual"/>
        </w:rPr>
        <w:t xml:space="preserve">year,k</w:t>
      </w:r>
      <w:r>
        <w:rPr>
          <w:i/>
          <w:iCs/>
          <w:szCs w:val="24"/>
          <w14:ligatures w14:val="standardContextual"/>
        </w:rPr>
        <w:t xml:space="preserve">=</w:t>
      </w:r>
      <w:r>
        <w:rPr>
          <w:i/>
          <w:iCs/>
          <w:szCs w:val="24"/>
          <w14:ligatures w14:val="standardContextual"/>
        </w:rPr>
        <w:t xml:space="preserve">17)+</w:t>
      </w:r>
      <w:r>
        <w:rPr>
          <w:i/>
          <w:iCs/>
          <w:szCs w:val="24"/>
          <w14:ligatures w14:val="standardContextual"/>
        </w:rPr>
        <w:t xml:space="preserve">s(</w:t>
      </w:r>
      <w:r>
        <w:rPr>
          <w:i/>
          <w:iCs/>
          <w:szCs w:val="24"/>
          <w14:ligatures w14:val="standardContextual"/>
        </w:rPr>
        <w:t xml:space="preserve">age,k</w:t>
      </w:r>
      <w:r>
        <w:rPr>
          <w:i/>
          <w:iCs/>
          <w:szCs w:val="24"/>
          <w14:ligatures w14:val="standardContextual"/>
        </w:rPr>
        <w:t xml:space="preserve">=</w:t>
      </w:r>
      <w:r>
        <w:rPr>
          <w:i/>
          <w:iCs/>
          <w:szCs w:val="24"/>
          <w14:ligatures w14:val="standardContextual"/>
        </w:rPr>
        <w:t xml:space="preserve">8)+</w:t>
      </w:r>
      <w:r>
        <w:rPr>
          <w:i/>
          <w:iCs/>
          <w:szCs w:val="24"/>
          <w14:ligatures w14:val="standardContextual"/>
        </w:rPr>
        <w:t xml:space="preserve">ti</w:t>
      </w:r>
      <w:r>
        <w:rPr>
          <w:i/>
          <w:iCs/>
          <w:szCs w:val="24"/>
          <w14:ligatures w14:val="standardContextual"/>
        </w:rPr>
        <w:t xml:space="preserve">(</w:t>
      </w:r>
      <w:r>
        <w:rPr>
          <w:i/>
          <w:iCs/>
          <w:szCs w:val="24"/>
          <w14:ligatures w14:val="standardContextual"/>
        </w:rPr>
        <w:t xml:space="preserve">year, </w:t>
      </w:r>
      <w:r>
        <w:rPr>
          <w:i/>
          <w:iCs/>
          <w:szCs w:val="24"/>
          <w14:ligatures w14:val="standardContextual"/>
        </w:rPr>
        <w:t xml:space="preserve">age,k</w:t>
      </w:r>
      <w:r>
        <w:rPr>
          <w:i/>
          <w:iCs/>
          <w:szCs w:val="24"/>
          <w14:ligatures w14:val="standardContextual"/>
        </w:rPr>
        <w:t xml:space="preserve">=</w:t>
      </w:r>
      <w:r>
        <w:rPr>
          <w:i/>
          <w:iCs/>
          <w:szCs w:val="24"/>
          <w14:ligatures w14:val="standardContextual"/>
        </w:rPr>
        <w:t xml:space="preserve">c(</w:t>
      </w:r>
      <w:r>
        <w:rPr>
          <w:i/>
          <w:iCs/>
          <w:szCs w:val="24"/>
          <w14:ligatures w14:val="standardContextual"/>
        </w:rPr>
        <w:t xml:space="preserve">6,5))</w:t>
      </w:r>
      <w:r>
        <w:rPr>
          <w:i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iCs/>
          <w:szCs w:val="24"/>
          <w14:ligatures w14:val="standardContextual"/>
        </w:rPr>
        <w:t xml:space="preserve">The recruitment (</w:t>
      </w:r>
      <w:r>
        <w:rPr>
          <w:i/>
          <w:iCs/>
          <w:szCs w:val="24"/>
          <w14:ligatures w14:val="standardContextual"/>
        </w:rPr>
        <w:t xml:space="preserve">R</w:t>
      </w:r>
      <w:r>
        <w:rPr>
          <w:iCs/>
          <w:szCs w:val="24"/>
          <w14:ligatures w14:val="standardContextual"/>
        </w:rPr>
        <w:t xml:space="preserve">) </w:t>
      </w:r>
      <w:r>
        <w:rPr>
          <w:iCs/>
          <w:szCs w:val="24"/>
          <w14:ligatures w14:val="standardContextual"/>
        </w:rPr>
        <w:t xml:space="preserve">submodel</w:t>
      </w:r>
      <w:r>
        <w:rPr>
          <w:iCs/>
          <w:szCs w:val="24"/>
          <w14:ligatures w14:val="standardContextual"/>
        </w:rPr>
        <w:t xml:space="preserve"> uses a temporal smoother: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i/>
        </w:rPr>
      </w:pPr>
      <w:r>
        <w:rPr>
          <w:i/>
          <w:iCs/>
          <w:szCs w:val="24"/>
          <w14:ligatures w14:val="standardContextual"/>
        </w:rPr>
        <w:t xml:space="preserve">R∼s(</w:t>
      </w:r>
      <w:r>
        <w:rPr>
          <w:i/>
          <w:iCs/>
          <w:szCs w:val="24"/>
          <w14:ligatures w14:val="standardContextual"/>
        </w:rPr>
        <w:t xml:space="preserve">year,k</w:t>
      </w:r>
      <w:r>
        <w:rPr>
          <w:i/>
          <w:iCs/>
          <w:szCs w:val="24"/>
          <w14:ligatures w14:val="standardContextual"/>
        </w:rPr>
        <w:t xml:space="preserve">=20)</w:t>
      </w:r>
      <w:r>
        <w:rPr>
          <w:i/>
        </w:rPr>
      </w:r>
    </w:p>
    <w:p>
      <w:pPr>
        <w:pBdr/>
        <w:spacing w:after="0" w:line="240" w:lineRule="auto"/>
        <w:ind/>
        <w:jc w:val="center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iCs/>
          <w:szCs w:val="24"/>
          <w14:ligatures w14:val="standardContextual"/>
        </w:rPr>
        <w:t xml:space="preserve">For catchability (</w:t>
      </w:r>
      <w:r>
        <w:rPr>
          <w:i/>
          <w:iCs/>
          <w:szCs w:val="24"/>
          <w14:ligatures w14:val="standardContextual"/>
        </w:rPr>
        <w:t xml:space="preserve">q</w:t>
      </w:r>
      <w:r>
        <w:rPr>
          <w:iCs/>
          <w:szCs w:val="24"/>
          <w14:ligatures w14:val="standardContextual"/>
        </w:rPr>
        <w:t xml:space="preserve">), constant catchability was assumed for the Greek, Spanish, and Sicilian longlines (∼1), while a smoother over time (</w:t>
      </w:r>
      <w:r>
        <w:rPr>
          <w:i/>
          <w:iCs/>
          <w:szCs w:val="24"/>
          <w14:ligatures w14:val="standardContextual"/>
        </w:rPr>
        <w:t xml:space="preserve">∼s(</w:t>
      </w:r>
      <w:r>
        <w:rPr>
          <w:i/>
          <w:iCs/>
          <w:szCs w:val="24"/>
          <w14:ligatures w14:val="standardContextual"/>
        </w:rPr>
        <w:t xml:space="preserve">year,k</w:t>
      </w:r>
      <w:r>
        <w:rPr>
          <w:i/>
          <w:iCs/>
          <w:szCs w:val="24"/>
          <w14:ligatures w14:val="standardContextual"/>
        </w:rPr>
        <w:t xml:space="preserve">=3)</w:t>
      </w:r>
      <w:r>
        <w:rPr>
          <w:iCs/>
          <w:szCs w:val="24"/>
          <w14:ligatures w14:val="standardContextual"/>
        </w:rPr>
        <w:t xml:space="preserve">) was applied to the Moroccan and Ligurian indices to account for identified trends.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iCs/>
          <w:szCs w:val="24"/>
          <w14:ligatures w14:val="standardContextual"/>
        </w:rPr>
        <w:t xml:space="preserve">The observation variance (</w:t>
      </w:r>
      <w:r>
        <w:rPr>
          <w:iCs/>
          <w:szCs w:val="24"/>
          <w:lang w:val="el-GR"/>
          <w14:ligatures w14:val="standardContextual"/>
        </w:rPr>
        <w:t xml:space="preserve">σ</w:t>
      </w:r>
      <w:r>
        <w:rPr>
          <w:iCs/>
          <w:szCs w:val="24"/>
          <w:vertAlign w:val="superscript"/>
          <w:lang w:val="el-GR"/>
          <w14:ligatures w14:val="standardContextual"/>
        </w:rPr>
        <w:t xml:space="preserve">2</w:t>
      </w:r>
      <w:r>
        <w:rPr>
          <w:iCs/>
          <w:szCs w:val="24"/>
          <w14:ligatures w14:val="standardContextual"/>
        </w:rPr>
        <w:t xml:space="preserve">) of the catches was modeled using a spline across ages (</w:t>
      </w:r>
      <w:r>
        <w:rPr>
          <w:i/>
          <w:iCs/>
          <w:szCs w:val="24"/>
          <w14:ligatures w14:val="standardContextual"/>
        </w:rPr>
        <w:t xml:space="preserve">∼s(</w:t>
      </w:r>
      <w:r>
        <w:rPr>
          <w:i/>
          <w:iCs/>
          <w:szCs w:val="24"/>
          <w14:ligatures w14:val="standardContextual"/>
        </w:rPr>
        <w:t xml:space="preserve">age,k</w:t>
      </w:r>
      <w:r>
        <w:rPr>
          <w:i/>
          <w:iCs/>
          <w:szCs w:val="24"/>
          <w14:ligatures w14:val="standardContextual"/>
        </w:rPr>
        <w:t xml:space="preserve">=3)</w:t>
      </w:r>
      <w:r>
        <w:rPr>
          <w:iCs/>
          <w:szCs w:val="24"/>
          <w14:ligatures w14:val="standardContextual"/>
        </w:rPr>
        <w:t xml:space="preserve">) assuming no year effect, while the observation variances (</w:t>
      </w:r>
      <w:r>
        <w:rPr>
          <w:iCs/>
          <w:szCs w:val="24"/>
          <w:lang w:val="el-GR"/>
          <w14:ligatures w14:val="standardContextual"/>
        </w:rPr>
        <w:t xml:space="preserve">τ</w:t>
      </w:r>
      <w:r>
        <w:rPr>
          <w:iCs/>
          <w:szCs w:val="24"/>
          <w:vertAlign w:val="superscript"/>
          <w14:ligatures w14:val="standardContextual"/>
        </w:rPr>
        <w:t xml:space="preserve">2</w:t>
      </w:r>
      <w:r>
        <w:rPr>
          <w:iCs/>
          <w:szCs w:val="24"/>
          <w14:ligatures w14:val="standardContextual"/>
        </w:rPr>
        <w:t xml:space="preserve">) for all tuning indices were assumed constant (∼1).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i/>
          <w:iCs/>
          <w:szCs w:val="24"/>
          <w14:ligatures w14:val="standardContextual"/>
        </w:rPr>
      </w:pPr>
      <w:r>
        <w:rPr>
          <w:iCs/>
          <w:szCs w:val="24"/>
          <w14:ligatures w14:val="standardContextual"/>
        </w:rPr>
        <w:t xml:space="preserve">The population’s initial age structure in the first year of the assessment (</w:t>
      </w:r>
      <w:r>
        <w:rPr>
          <w:i/>
          <w:iCs/>
          <w:szCs w:val="24"/>
          <w14:ligatures w14:val="standardContextual"/>
        </w:rPr>
        <w:t xml:space="preserve">N</w:t>
      </w:r>
      <w:r>
        <w:rPr>
          <w:i/>
          <w:iCs/>
          <w:szCs w:val="24"/>
          <w:vertAlign w:val="subscript"/>
          <w14:ligatures w14:val="standardContextual"/>
        </w:rPr>
        <w:t xml:space="preserve">1</w:t>
      </w:r>
      <w:r>
        <w:rPr>
          <w:iCs/>
          <w:szCs w:val="24"/>
          <w14:ligatures w14:val="standardContextual"/>
        </w:rPr>
        <w:t xml:space="preserve">) was estimated </w:t>
      </w:r>
      <w:r>
        <w:rPr>
          <w:iCs/>
          <w:szCs w:val="24"/>
          <w14:ligatures w14:val="standardContextual"/>
        </w:rPr>
        <w:t xml:space="preserve">using</w:t>
      </w:r>
      <w:r>
        <w:rPr>
          <w:iCs/>
          <w:szCs w:val="24"/>
          <w14:ligatures w14:val="standardContextual"/>
        </w:rPr>
        <w:t xml:space="preserve"> a simple age smoother (</w:t>
      </w:r>
      <w:r>
        <w:rPr>
          <w:i/>
          <w:iCs/>
          <w:szCs w:val="24"/>
          <w14:ligatures w14:val="standardContextual"/>
        </w:rPr>
        <w:t xml:space="preserve">∼s(</w:t>
      </w:r>
      <w:r>
        <w:rPr>
          <w:i/>
          <w:iCs/>
          <w:szCs w:val="24"/>
          <w14:ligatures w14:val="standardContextual"/>
        </w:rPr>
        <w:t xml:space="preserve">age,k</w:t>
      </w:r>
      <w:r>
        <w:rPr>
          <w:i/>
          <w:iCs/>
          <w:szCs w:val="24"/>
          <w14:ligatures w14:val="standardContextual"/>
        </w:rPr>
        <w:t xml:space="preserve">=3)</w:t>
      </w:r>
      <w:r>
        <w:rPr>
          <w:iCs/>
          <w:szCs w:val="24"/>
          <w14:ligatures w14:val="standardContextual"/>
        </w:rPr>
        <w:t xml:space="preserve">).</w:t>
      </w:r>
      <w:r>
        <w:rPr>
          <w:i/>
          <w:iCs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1.3</w:t>
      </w:r>
      <w:r>
        <w:rPr>
          <w:b/>
          <w:i/>
          <w:szCs w:val="24"/>
          <w14:ligatures w14:val="standardContextual"/>
        </w:rPr>
        <w:tab/>
        <w:t xml:space="preserve">Sensitivity Runs</w:t>
      </w:r>
      <w:r>
        <w:rPr>
          <w:b/>
          <w:bCs/>
          <w:i/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spacing/>
        <w:ind/>
        <w:jc w:val="both"/>
        <w:rPr/>
      </w:pPr>
      <w:r>
        <w:t xml:space="preserve">In addition to the two primary candidate models, two sensitivity analyses were conducted to evaluate the robustness of the assessment to historical data inputs and index selection:</w:t>
      </w:r>
      <w:r/>
    </w:p>
    <w:p>
      <w:pPr>
        <w:numPr>
          <w:ilvl w:val="0"/>
          <w:numId w:val="5"/>
        </w:numPr>
        <w:pBdr/>
        <w:spacing/>
        <w:ind/>
        <w:jc w:val="both"/>
        <w:rPr/>
      </w:pPr>
      <w:r>
        <w:rPr>
          <w:b/>
          <w:bCs/>
        </w:rPr>
        <w:t xml:space="preserve">Sensitivity 1 (1978–2024):</w:t>
      </w:r>
      <w:r>
        <w:t xml:space="preserve"> This run explores the impact of extending the time series back to 1978, prior to the start of the tuning indices using Constant </w:t>
      </w:r>
      <m:oMath>
        <m:r>
          <w:rPr>
            <w:rFonts w:ascii="Cambria Math" w:hAnsi="Cambria Math"/>
          </w:rPr>
          <m:rPr/>
          <m:t>M</m:t>
        </m:r>
      </m:oMath>
      <w:r>
        <w:t xml:space="preserve">. The fishing mortality submodel was slightly modified to accommodate the longer time series by increasing the temporal spline knots to </w:t>
      </w:r>
      <m:oMath>
        <m:r>
          <w:rPr>
            <w:rFonts w:ascii="Cambria Math" w:hAnsi="Cambria Math"/>
          </w:rPr>
          <m:rPr/>
          <m:t>k</m:t>
        </m:r>
        <m:r>
          <w:rPr>
            <w:rFonts w:ascii="Cambria Math" w:hAnsi="Cambria Math"/>
          </w:rPr>
          <m:rPr>
            <m:sty m:val="p"/>
          </m:rPr>
          <m:t>=</m:t>
        </m:r>
        <m:r>
          <w:rPr>
            <w:rFonts w:ascii="Cambria Math" w:hAnsi="Cambria Math"/>
          </w:rPr>
          <m:rPr/>
          <m:t>25</m:t>
        </m:r>
      </m:oMath>
      <w:r>
        <w:t xml:space="preserve">.</w:t>
      </w:r>
      <w:r/>
    </w:p>
    <w:p>
      <w:pPr>
        <w:numPr>
          <w:ilvl w:val="0"/>
          <w:numId w:val="5"/>
        </w:numPr>
        <w:pBdr/>
        <w:spacing/>
        <w:ind/>
        <w:jc w:val="both"/>
        <w:rPr/>
      </w:pPr>
      <w:r>
        <w:rPr>
          <w:b/>
          <w:bCs/>
        </w:rPr>
        <w:t xml:space="preserve">Sensitivity 2 (Extra Indices):</w:t>
      </w:r>
      <w:r>
        <w:t xml:space="preserve"> This run maintains the 1985–2024 period and Constant </w:t>
      </w:r>
      <m:oMath>
        <m:r>
          <w:rPr>
            <w:rFonts w:ascii="Cambria Math" w:hAnsi="Cambria Math"/>
          </w:rPr>
          <m:rPr/>
          <m:t>M</m:t>
        </m:r>
      </m:oMath>
      <w:r>
        <w:t xml:space="preserve"> assumption but incorporates two additional historical abundance indices: Sicilian Gillnet (SI_GN) and Ligurian Surface Longline (LI_SUR). Catchability for these extra historical indices was modeled as constant (</w:t>
      </w:r>
      <m:oMath>
        <m:r>
          <w:rPr>
            <w:rFonts w:ascii="Cambria Math" w:hAnsi="Cambria Math"/>
          </w:rPr>
          <m:rPr>
            <m:sty m:val="p"/>
          </m:rPr>
          <m:t>∼</m:t>
        </m:r>
        <m:r>
          <w:rPr>
            <w:rFonts w:ascii="Cambria Math" w:hAnsi="Cambria Math"/>
          </w:rPr>
          <m:rPr/>
          <m:t>1</m:t>
        </m:r>
      </m:oMath>
      <w:r>
        <w:t xml:space="preserve">) for the Sicilian and with a year effect for the Ligurian (</w:t>
      </w:r>
      <m:oMath>
        <m:r>
          <w:rPr>
            <w:rFonts w:ascii="Cambria Math" w:hAnsi="Cambria Math"/>
          </w:rPr>
          <m:rPr>
            <m:sty m:val="p"/>
          </m:rPr>
          <m:t>∼</m:t>
        </m:r>
        <m:r>
          <w:rPr>
            <w:rFonts w:ascii="Cambria Math" w:hAnsi="Cambria Math"/>
          </w:rPr>
          <m:rPr/>
          <m:t>s</m:t>
        </m:r>
        <m:r>
          <w:rPr>
            <w:rFonts w:ascii="Cambria Math" w:hAnsi="Cambria Math"/>
          </w:rPr>
          <m:rPr>
            <m:sty m:val="p"/>
          </m:rPr>
          <m:t>(</m:t>
        </m:r>
        <m:r>
          <m:rPr>
            <m:nor m:val="on"/>
          </m:rPr>
          <m:t>year</m:t>
        </m:r>
        <m:r>
          <w:rPr>
            <w:rFonts w:ascii="Cambria Math" w:hAnsi="Cambria Math"/>
          </w:rPr>
          <m:rPr>
            <m:sty m:val="p"/>
          </m:rPr>
          <m:t>,</m:t>
        </m:r>
        <m:r>
          <w:rPr>
            <w:rFonts w:ascii="Cambria Math" w:hAnsi="Cambria Math"/>
          </w:rPr>
          <m:rPr/>
          <m:t>k</m:t>
        </m:r>
        <m:r>
          <w:rPr>
            <w:rFonts w:ascii="Cambria Math" w:hAnsi="Cambria Math"/>
          </w:rPr>
          <m:rPr>
            <m:sty m:val="p"/>
          </m:rPr>
          <m:t>=</m:t>
        </m:r>
        <m:r>
          <w:rPr>
            <w:rFonts w:ascii="Cambria Math" w:hAnsi="Cambria Math"/>
          </w:rPr>
          <m:rPr/>
          <m:t>5</m:t>
        </m:r>
        <m:r>
          <w:rPr>
            <w:rFonts w:ascii="Cambria Math" w:hAnsi="Cambria Math"/>
          </w:rPr>
          <m:rPr>
            <m:sty m:val="p"/>
          </m:rPr>
          <m:t>)</m:t>
        </m:r>
      </m:oMath>
      <w:r>
        <w:t xml:space="preserve">).</w:t>
      </w:r>
      <w:r/>
    </w:p>
    <w:p>
      <w:pPr>
        <w:pBdr/>
        <w:tabs>
          <w:tab w:val="left" w:leader="none" w:pos="426"/>
        </w:tabs>
        <w:spacing w:after="0" w:line="240" w:lineRule="auto"/>
        <w:ind/>
        <w:rPr>
          <w:b/>
          <w:szCs w:val="24"/>
          <w14:ligatures w14:val="standardContextual"/>
        </w:rPr>
      </w:pPr>
      <w:r>
        <w:rPr>
          <w:b/>
          <w:bCs/>
          <w:szCs w:val="24"/>
          <w14:ligatures w14:val="standardContextual"/>
        </w:rPr>
        <w:t xml:space="preserve">2</w:t>
      </w:r>
      <w:r>
        <w:rPr>
          <w:b/>
          <w:bCs/>
          <w:szCs w:val="24"/>
          <w14:ligatures w14:val="standardContextual"/>
        </w:rPr>
        <w:t xml:space="preserve">. </w:t>
      </w:r>
      <w:r>
        <w:rPr>
          <w:b/>
          <w:bCs/>
          <w:szCs w:val="24"/>
          <w14:ligatures w14:val="standardContextual"/>
        </w:rPr>
        <w:tab/>
        <w:t xml:space="preserve">Results</w:t>
      </w:r>
      <w:r>
        <w:rPr>
          <w:b/>
          <w:bCs/>
          <w:szCs w:val="24"/>
          <w14:ligatures w14:val="standardContextual"/>
        </w:rPr>
        <w:t xml:space="preserve"> </w:t>
      </w:r>
      <w:r>
        <w:rPr>
          <w:b/>
          <w:szCs w:val="24"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2.1</w:t>
      </w:r>
      <w:r>
        <w:rPr>
          <w:b/>
          <w:i/>
          <w:szCs w:val="24"/>
          <w14:ligatures w14:val="standardContextual"/>
        </w:rPr>
        <w:tab/>
        <w:t xml:space="preserve">Stock Trajectories</w:t>
      </w:r>
      <w:r>
        <w:rPr>
          <w:b/>
          <w:bCs/>
          <w:i/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:szCs w:val="24"/>
          <w14:ligatures w14:val="standardContextual"/>
        </w:rPr>
      </w:pPr>
      <w:r>
        <w:rPr>
          <w:b/>
          <w:bCs/>
          <w:szCs w:val="24"/>
          <w14:ligatures w14:val="standardContextual"/>
        </w:rPr>
      </w:r>
      <w:r>
        <w:rPr>
          <w:b/>
          <w:bCs/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bCs/>
          <w:szCs w:val="24"/>
          <w14:ligatures w14:val="standardContextual"/>
        </w:rPr>
        <w:t xml:space="preserve">The estimated trajectories for Recruitment, Spawning Stock Biomass (SSB), Catch, and Fishing Mortality (F averaged over ages 1-4) for the two candidate runs (1985 Constant M and 1985 Lorenzen M) are presented in </w:t>
      </w:r>
      <w:r>
        <w:rPr>
          <w:b/>
          <w:bCs/>
          <w:szCs w:val="24"/>
          <w14:ligatures w14:val="standardContextual"/>
        </w:rPr>
        <w:t xml:space="preserve">Figure 2</w:t>
      </w:r>
      <w:r>
        <w:rPr>
          <w:bCs/>
          <w:szCs w:val="24"/>
          <w14:ligatures w14:val="standardContextual"/>
        </w:rPr>
        <w:t xml:space="preserve">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bCs/>
          <w:szCs w:val="24"/>
          <w14:ligatures w14:val="standardContextual"/>
        </w:rPr>
      </w:pPr>
      <w:r>
        <w:rPr>
          <w:bCs/>
          <w:szCs w:val="24"/>
          <w14:ligatures w14:val="standardContextual"/>
        </w:rPr>
        <w:t xml:space="preserve">Both </w:t>
      </w:r>
      <w:r>
        <w:rPr>
          <w:bCs/>
          <w:szCs w:val="24"/>
          <w14:ligatures w14:val="standardContextual"/>
        </w:rPr>
        <w:t xml:space="preserve">models successfully capture the historical catch trends. The inclusion of the Lorenzen M vector scaled the absolute estimates of recruitment and SSB compared to the constant M assumption, while producing highly correlated relative trends. Because the Loren</w:t>
      </w:r>
      <w:r>
        <w:rPr>
          <w:bCs/>
          <w:szCs w:val="24"/>
          <w14:ligatures w14:val="standardContextual"/>
        </w:rPr>
        <w:t xml:space="preserve">zen M assumes higher natural mortality for younger age classes, the model must estimate a much larger recruitment to support the observed catch history of those cohorts. Despite these absolute scaling differences, both models indicate a similar trajectory.</w:t>
      </w:r>
      <w:r>
        <w:rPr>
          <w:bCs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1844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5pt;height:291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2 </w:t>
      </w:r>
      <w:bookmarkStart w:id="1" w:name="plot-all-comp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1"/>
      <w:r>
        <w:rPr>
          <w:b/>
        </w:rPr>
        <w:t xml:space="preserve">: </w:t>
      </w:r>
      <w:r>
        <w:t xml:space="preserve">Trajectory comparison of the Candidate Runs (Constant M vs. Lorenzen M) against the observed catch.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bCs/>
          <w:szCs w:val="24"/>
          <w14:ligatures w14:val="standardContextual"/>
        </w:rPr>
        <w:t xml:space="preserve">The resulting time-varying selectivity is evident in the estimated fishing mortality surface, demonstrating that the inclusion of the tensor product effectively allowed the model to adjust age-specific vulnerabilities over time (</w:t>
      </w:r>
      <w:r>
        <w:rPr>
          <w:b/>
          <w:bCs/>
          <w:szCs w:val="24"/>
          <w14:ligatures w14:val="standardContextual"/>
        </w:rPr>
        <w:t xml:space="preserve">Figure 3</w:t>
      </w:r>
      <w:r>
        <w:rPr>
          <w:bCs/>
          <w:szCs w:val="24"/>
          <w14:ligatures w14:val="standardContextual"/>
        </w:rPr>
        <w:t xml:space="preserve">). There is a high F estimated for in the beginning of the time series for the oldest age (age 9).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88004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74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84" cy="28800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5pt;height:226.7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3 </w:t>
      </w:r>
      <w:bookmarkStart w:id="2" w:name="harvest3D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2"/>
      <w:r>
        <w:rPr>
          <w:b/>
        </w:rPr>
        <w:t xml:space="preserve">: </w:t>
      </w:r>
      <w:r>
        <w:t xml:space="preserve">Fishing mortality at age over time (selectivity surface) for both candidate runs.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2.2</w:t>
      </w:r>
      <w:r>
        <w:rPr>
          <w:b/>
          <w:i/>
          <w:szCs w:val="24"/>
          <w14:ligatures w14:val="standardContextual"/>
        </w:rPr>
        <w:tab/>
        <w:t xml:space="preserve">Model Diagnostics: Constant M Candidate Run</w:t>
      </w:r>
      <w:r>
        <w:rPr>
          <w:b/>
          <w:bCs/>
          <w:i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bCs/>
          <w:szCs w:val="24"/>
          <w14:ligatures w14:val="standardContextual"/>
        </w:rPr>
        <w:t xml:space="preserve">To evaluate the goo</w:t>
      </w:r>
      <w:r>
        <w:rPr>
          <w:bCs/>
          <w:szCs w:val="24"/>
          <w14:ligatures w14:val="standardContextual"/>
        </w:rPr>
        <w:t xml:space="preserve">dness-of-fit for the Constant M candidate run, standardized log-residuals were analyzed for both the catch-at-age matrix and the tuning indices. Furthermore, aggregated catch diagnostics were examined to ensure the model accurately predicts total removals.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bCs/>
          <w:szCs w:val="24"/>
          <w14:ligatures w14:val="standardContextual"/>
        </w:rPr>
        <w:t xml:space="preserve">The standardized residuals for the catch-at-age (</w:t>
      </w:r>
      <w:r>
        <w:rPr>
          <w:b/>
          <w:szCs w:val="24"/>
          <w14:ligatures w14:val="standardContextual"/>
        </w:rPr>
        <w:t xml:space="preserve">Figure</w:t>
      </w:r>
      <w:r>
        <w:rPr>
          <w:b/>
          <w:szCs w:val="24"/>
          <w14:ligatures w14:val="standardContextual"/>
        </w:rPr>
        <w:t xml:space="preserve"> 4</w:t>
      </w:r>
      <w:r>
        <w:rPr>
          <w:bCs/>
          <w:szCs w:val="24"/>
          <w14:ligatures w14:val="standardContextual"/>
        </w:rPr>
        <w:t xml:space="preserve">) generally demonstrate that the tensor product in the F </w:t>
      </w:r>
      <w:r>
        <w:rPr>
          <w:bCs/>
          <w:szCs w:val="24"/>
          <w14:ligatures w14:val="standardContextual"/>
        </w:rPr>
        <w:t xml:space="preserve">submodel</w:t>
      </w:r>
      <w:r>
        <w:rPr>
          <w:bCs/>
          <w:szCs w:val="24"/>
          <w14:ligatures w14:val="standardContextual"/>
        </w:rPr>
        <w:t xml:space="preserve"> captures the bulk of the shifting selectivity over time. However, a distinct non-stationary pattern remains evident in Age 3. The model consistently underestimates Age 3 catches during the early period (1985–1994), characterized by a block of strong p</w:t>
      </w:r>
      <w:r>
        <w:rPr>
          <w:bCs/>
          <w:szCs w:val="24"/>
          <w14:ligatures w14:val="standardContextual"/>
        </w:rPr>
        <w:t xml:space="preserve">ositive residuals, before transitioning to slight overestimation (negative residuals) in the most recent decade. This localized residual structure suggests a historical shift in vulnerability or fleet targeting for this specific age class that the current </w:t>
      </w:r>
      <w:r>
        <w:rPr>
          <w:bCs/>
          <w:szCs w:val="24"/>
          <w14:ligatures w14:val="standardContextual"/>
        </w:rPr>
        <w:t xml:space="preserve">ti</w:t>
      </w:r>
      <w:r>
        <w:rPr>
          <w:bCs/>
          <w:szCs w:val="24"/>
          <w14:ligatures w14:val="standardContextual"/>
        </w:rPr>
        <w:t xml:space="preserve">(</w:t>
      </w:r>
      <w:r>
        <w:rPr>
          <w:bCs/>
          <w:szCs w:val="24"/>
          <w14:ligatures w14:val="standardContextual"/>
        </w:rPr>
        <w:t xml:space="preserve">year, age) spline constraints are slightly over-smoothing. Despite this, the overall age structure remains stable without severe residual patterns.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:b/>
          <w:szCs w:val="24"/>
          <w14:ligatures w14:val="standardContextual"/>
        </w:rPr>
      </w:pPr>
      <w:r>
        <w:rPr>
          <w:b/>
          <w:szCs w:val="24"/>
          <w14:ligatures w14:val="standardContextual"/>
        </w:rPr>
      </w:r>
      <w:r>
        <w:rPr>
          <w:b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937216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44610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4" cy="493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5pt;height:388.7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4 </w:t>
      </w:r>
      <w:bookmarkStart w:id="3" w:name="diag-caa-res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3"/>
      <w:r>
        <w:rPr>
          <w:b/>
        </w:rPr>
        <w:t xml:space="preserve">: </w:t>
      </w:r>
      <w:r>
        <w:t xml:space="preserve">Standardized log-residuals of catch-at-age for the Constant M candidate run.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  <w:t xml:space="preserve">The CPUE index residuals (</w:t>
      </w:r>
      <w:r>
        <w:rPr>
          <w:b/>
          <w:bCs/>
          <w14:ligatures w14:val="standardContextual"/>
        </w:rPr>
        <w:t xml:space="preserve">Figure 5</w:t>
      </w:r>
      <w:r>
        <w:rPr>
          <w14:ligatures w14:val="standardContextual"/>
        </w:rPr>
        <w:t xml:space="preserve">) display acceptable patterns.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1638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5pt;height:291.5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5 </w:t>
      </w:r>
      <w:bookmarkStart w:id="4" w:name="diag-idx-res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4"/>
      <w:r>
        <w:rPr>
          <w:b/>
        </w:rPr>
        <w:t xml:space="preserve">: </w:t>
      </w:r>
      <w:r>
        <w:t xml:space="preserve">Standardized residuals for each CPUE index (Constant M).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Finally, the aggregated catch diagnostics (</w:t>
      </w:r>
      <w:r>
        <w:rPr>
          <w:b/>
          <w:bCs/>
          <w:szCs w:val="24"/>
          <w14:ligatures w14:val="standardContextual"/>
        </w:rPr>
        <w:t xml:space="preserve">Figure </w:t>
      </w:r>
      <w:r>
        <w:rPr>
          <w:b/>
          <w:bCs/>
          <w:szCs w:val="24"/>
          <w14:ligatures w14:val="standardContextual"/>
        </w:rPr>
        <w:t xml:space="preserve">6</w:t>
      </w:r>
      <w:r>
        <w:rPr>
          <w:szCs w:val="24"/>
          <w14:ligatures w14:val="standardContextual"/>
        </w:rPr>
        <w:t xml:space="preserve">) confirm that the model predicts total removals reliably by decomposing the variance into three distinct statistical components: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Style w:val="989"/>
        <w:numPr>
          <w:ilvl w:val="0"/>
          <w:numId w:val="6"/>
        </w:numPr>
        <w:pBdr/>
        <w:spacing w:after="0" w:line="240" w:lineRule="auto"/>
        <w:ind/>
        <w:jc w:val="both"/>
        <w:rPr/>
      </w:pPr>
      <w:r>
        <w:rPr>
          <w:b/>
          <w:bCs/>
          <w:szCs w:val="24"/>
          <w14:ligatures w14:val="standardContextual"/>
        </w:rPr>
        <w:t xml:space="preserve">Observation Error:</w:t>
      </w:r>
      <w:r>
        <w:rPr>
          <w:szCs w:val="24"/>
          <w14:ligatures w14:val="standardContextual"/>
        </w:rPr>
        <w:t xml:space="preserve"> Reflects the inherent noise and sampling variance within the observed catch data.</w:t>
      </w:r>
      <w:r/>
    </w:p>
    <w:p>
      <w:pPr>
        <w:pStyle w:val="989"/>
        <w:numPr>
          <w:ilvl w:val="0"/>
          <w:numId w:val="6"/>
        </w:numPr>
        <w:pBdr/>
        <w:spacing w:after="0" w:line="240" w:lineRule="auto"/>
        <w:ind/>
        <w:jc w:val="both"/>
        <w:rPr/>
      </w:pPr>
      <w:r>
        <w:rPr>
          <w:b/>
          <w:bCs/>
          <w:szCs w:val="24"/>
          <w14:ligatures w14:val="standardContextual"/>
        </w:rPr>
        <w:t xml:space="preserve">Estimation Error:</w:t>
      </w:r>
      <w:r>
        <w:rPr>
          <w:szCs w:val="24"/>
          <w14:ligatures w14:val="standardContextual"/>
        </w:rPr>
        <w:t xml:space="preserve"> Represents the structural uncertainty of the model’s fitted parameters (i.e., the variance of the expected values).</w:t>
      </w:r>
      <w:r/>
    </w:p>
    <w:p>
      <w:pPr>
        <w:pStyle w:val="989"/>
        <w:numPr>
          <w:ilvl w:val="0"/>
          <w:numId w:val="6"/>
        </w:numPr>
        <w:pBdr/>
        <w:spacing w:after="0" w:line="240" w:lineRule="auto"/>
        <w:ind/>
        <w:jc w:val="both"/>
        <w:rPr/>
      </w:pPr>
      <w:r>
        <w:rPr>
          <w:b/>
          <w:bCs/>
          <w:szCs w:val="24"/>
          <w14:ligatures w14:val="standardContextual"/>
        </w:rPr>
        <w:t xml:space="preserve">Prediction Error:</w:t>
      </w:r>
      <w:r>
        <w:rPr>
          <w:szCs w:val="24"/>
          <w14:ligatures w14:val="standardContextual"/>
        </w:rPr>
        <w:t xml:space="preserve"> The convolution of both observation and estimation errors, representing the total uncertainty bounds of the model’s predictions.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Both estimation and prediction errors remain stationary over the time series, lacking any severe divergence or funneling. This confirms that the variance </w:t>
      </w:r>
      <w:r>
        <w:rPr>
          <w:szCs w:val="24"/>
          <w14:ligatures w14:val="standardContextual"/>
        </w:rPr>
        <w:t xml:space="preserve">does</w:t>
      </w:r>
      <w:r>
        <w:rPr>
          <w:szCs w:val="24"/>
          <w14:ligatures w14:val="standardContextual"/>
        </w:rPr>
        <w:t xml:space="preserve"> not systematically inflate in recent years and that the model is statistically consistent in scaling the total catch in weight.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114346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92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084" cy="411434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5pt;height:323.9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14:ligatures w14:val="standardContextual"/>
        </w:rPr>
      </w:pPr>
      <w:r>
        <w:rPr>
          <w:b/>
          <w:szCs w:val="24"/>
          <w14:ligatures w14:val="standardContextual"/>
        </w:rPr>
        <w:t xml:space="preserve">Figure 6: </w:t>
      </w:r>
      <w:r>
        <w:rPr>
          <w:szCs w:val="24"/>
          <w14:ligatures w14:val="standardContextual"/>
        </w:rPr>
        <w:t xml:space="preserve">Aggregated catch diagnostics for the Constant M candidate run, detailing the separated variance components (observation, estimation, and prediction errors) and the standardized aggregated residuals.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2.3</w:t>
      </w:r>
      <w:r>
        <w:rPr>
          <w:b/>
          <w:i/>
          <w:szCs w:val="24"/>
          <w14:ligatures w14:val="standardContextual"/>
        </w:rPr>
        <w:tab/>
        <w:t xml:space="preserve">Retrospective Analysis: Constant M Candidate Run</w:t>
      </w:r>
      <w:r>
        <w:rPr>
          <w:b/>
          <w:bCs/>
          <w:i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A 5-year retrospective analysis was conducted to evaluate the stability of the model’s terminal estimates. The retrospective trajectories for the Constant M run (</w:t>
      </w:r>
      <w:r>
        <w:rPr>
          <w:b/>
          <w:bCs/>
          <w:szCs w:val="24"/>
          <w14:ligatures w14:val="standardContextual"/>
        </w:rPr>
        <w:t xml:space="preserve">Figure 7</w:t>
      </w:r>
      <w:r>
        <w:rPr>
          <w:szCs w:val="24"/>
          <w14:ligatures w14:val="standardContextual"/>
        </w:rPr>
        <w:t xml:space="preserve">) show tight alignment across the peels. Mohn’s rho (ρ) was calculated for both Spawning Stock Biomass (SSB) and Fishing Mortality (</w:t>
      </w:r>
      <w:r>
        <w:rPr>
          <w:szCs w:val="24"/>
          <w14:ligatures w14:val="standardContextual"/>
        </w:rPr>
        <w:t xml:space="preserve">Fbar</w:t>
      </w:r>
      <w:r>
        <w:rPr>
          <w:szCs w:val="24"/>
          <w14:ligatures w14:val="standardContextual"/>
        </w:rPr>
        <w:t xml:space="preserve">). The resulting </w:t>
      </w:r>
      <w:r>
        <w:rPr>
          <w:szCs w:val="24"/>
          <w14:ligatures w14:val="standardContextual"/>
        </w:rPr>
        <w:t xml:space="preserve">rho</w:t>
      </w:r>
      <w:r>
        <w:rPr>
          <w:szCs w:val="24"/>
          <w14:ligatures w14:val="standardContextual"/>
        </w:rPr>
        <w:t xml:space="preserve"> values fall well within the acceptable bounds, indicating that the model’s terminal estimates are stable and not prone to severe retrospective revisions.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291477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708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84" cy="32914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259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7</w:t>
      </w:r>
      <w:bookmarkStart w:id="5" w:name="retro-85-c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5"/>
      <w:r>
        <w:rPr>
          <w:b/>
        </w:rPr>
        <w:t xml:space="preserve">: </w:t>
      </w:r>
      <w:r>
        <w:t xml:space="preserve">Retrospective analysis (5 peels) for the Constant M candidate run.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:lang w:val="it-IT"/>
          <w14:ligatures w14:val="standardContextual"/>
        </w:rPr>
      </w:pPr>
      <w:r>
        <w:rPr>
          <w:b/>
          <w:i/>
          <w:szCs w:val="24"/>
          <w:lang w:val="it-IT"/>
          <w14:ligatures w14:val="standardContextual"/>
        </w:rPr>
        <w:t xml:space="preserve">2.4</w:t>
      </w:r>
      <w:r>
        <w:rPr>
          <w:b/>
          <w:i/>
          <w:szCs w:val="24"/>
          <w:lang w:val="it-IT"/>
          <w14:ligatures w14:val="standardContextual"/>
        </w:rPr>
        <w:tab/>
        <w:t xml:space="preserve">Model </w:t>
      </w:r>
      <w:r>
        <w:rPr>
          <w:b/>
          <w:i/>
          <w:szCs w:val="24"/>
          <w:lang w:val="it-IT"/>
          <w14:ligatures w14:val="standardContextual"/>
        </w:rPr>
        <w:t xml:space="preserve">Diagnostics</w:t>
      </w:r>
      <w:r>
        <w:rPr>
          <w:b/>
          <w:i/>
          <w:szCs w:val="24"/>
          <w:lang w:val="it-IT"/>
          <w14:ligatures w14:val="standardContextual"/>
        </w:rPr>
        <w:t xml:space="preserve">: Lorenzen M Candidate Run</w:t>
      </w:r>
      <w:r>
        <w:rPr>
          <w:b/>
          <w:bCs/>
          <w:i/>
          <w:lang w:val="it-IT"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lang w:val="it-IT"/>
          <w14:ligatures w14:val="standardContextual"/>
        </w:rPr>
      </w:pPr>
      <w:r>
        <w:rPr>
          <w:lang w:val="it-IT"/>
          <w14:ligatures w14:val="standardContextual"/>
        </w:rPr>
      </w:r>
      <w:r>
        <w:rPr>
          <w:lang w:val="it-IT"/>
          <w14:ligatures w14:val="standardContextual"/>
        </w:rPr>
      </w:r>
    </w:p>
    <w:p>
      <w:pPr>
        <w:pBdr/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To verify that introducing the age-dependent Lorenzen natural mortality vector did not degrade the model fit, the diagnostic suite is repeated for the Lorenzen M run.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The standardized log-residuals for catch-at-age (</w:t>
      </w:r>
      <w:r>
        <w:rPr>
          <w:b/>
          <w:bCs/>
          <w:szCs w:val="24"/>
          <w14:ligatures w14:val="standardContextual"/>
        </w:rPr>
        <w:t xml:space="preserve">Figure 8</w:t>
      </w:r>
      <w:r>
        <w:rPr>
          <w:szCs w:val="24"/>
          <w14:ligatures w14:val="standardContextual"/>
        </w:rPr>
        <w:t xml:space="preserve">), the CPUE tuning indices (</w:t>
      </w:r>
      <w:r>
        <w:rPr>
          <w:b/>
          <w:bCs/>
          <w:szCs w:val="24"/>
          <w14:ligatures w14:val="standardContextual"/>
        </w:rPr>
        <w:t xml:space="preserve">Figure 9</w:t>
      </w:r>
      <w:r>
        <w:rPr>
          <w:szCs w:val="24"/>
          <w14:ligatures w14:val="standardContextual"/>
        </w:rPr>
        <w:t xml:space="preserve">) and the aggregated catch diagnostics (</w:t>
      </w:r>
      <w:r>
        <w:rPr>
          <w:b/>
          <w:bCs/>
          <w:szCs w:val="24"/>
          <w14:ligatures w14:val="standardContextual"/>
        </w:rPr>
        <w:t xml:space="preserve">Figure 10</w:t>
      </w:r>
      <w:r>
        <w:rPr>
          <w:szCs w:val="24"/>
          <w14:ligatures w14:val="standardContextual"/>
        </w:rPr>
        <w:t xml:space="preserve">) are nearly indistinguishable from the Constant M run. The Age 3 positive pattern in the beginning of the time series is persistent also in this run.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995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5pt;height:291.5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8</w:t>
      </w:r>
      <w:bookmarkStart w:id="6" w:name="diag-caa-res-l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6"/>
      <w:r>
        <w:rPr>
          <w:b/>
        </w:rPr>
        <w:t xml:space="preserve">: </w:t>
      </w:r>
      <w:r>
        <w:t xml:space="preserve">Standardized log-residuals of catch-at-age for the Lorenzen M candidate run.</w:t>
      </w:r>
      <w:r/>
    </w:p>
    <w:p>
      <w:pPr>
        <w:pBdr/>
        <w:spacing w:after="0" w:line="240" w:lineRule="auto"/>
        <w:ind/>
        <w:jc w:val="both"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971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5pt;height:291.5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9</w:t>
      </w:r>
      <w:bookmarkStart w:id="7" w:name="diag-idx-res-l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7"/>
      <w:r>
        <w:rPr>
          <w:b/>
        </w:rPr>
        <w:t xml:space="preserve">: </w:t>
      </w:r>
      <w:r>
        <w:t xml:space="preserve">Standardized residuals for each CPUE index (Lorenzen M).</w:t>
      </w:r>
      <w:r/>
    </w:p>
    <w:p>
      <w:pPr>
        <w:pBdr/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114346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52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084" cy="411434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55pt;height:323.9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14:ligatures w14:val="standardContextual"/>
        </w:rPr>
      </w:pPr>
      <w:r>
        <w:rPr>
          <w:b/>
          <w:szCs w:val="24"/>
          <w14:ligatures w14:val="standardContextual"/>
        </w:rPr>
        <w:t xml:space="preserve">Figure 10: </w:t>
      </w:r>
      <w:r>
        <w:rPr>
          <w:szCs w:val="24"/>
          <w14:ligatures w14:val="standardContextual"/>
        </w:rPr>
        <w:t xml:space="preserve">Aggregated catch diagnostics for the Lorenzen M candidate run, detailing the separated variance components (observation, estimation, and prediction errors) and the standardized aggregated residuals.</w:t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:b/>
          <w:bCs/>
          <w:i/>
          <w14:ligatures w14:val="standardContextual"/>
        </w:rPr>
      </w:pPr>
      <w:r>
        <w:rPr>
          <w:b/>
          <w:i/>
          <w:szCs w:val="24"/>
          <w14:ligatures w14:val="standardContextual"/>
        </w:rPr>
        <w:t xml:space="preserve">2.5</w:t>
      </w:r>
      <w:r>
        <w:rPr>
          <w:b/>
          <w:i/>
          <w:szCs w:val="24"/>
          <w14:ligatures w14:val="standardContextual"/>
        </w:rPr>
        <w:tab/>
        <w:t xml:space="preserve">Retrospective Analysis: Lorenzen M Candidate Run</w:t>
      </w:r>
      <w:r>
        <w:rPr>
          <w:b/>
          <w:bCs/>
          <w:i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373764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9724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084" cy="33737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3.55pt;height:265.6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11</w:t>
      </w:r>
      <w:bookmarkStart w:id="8" w:name="retro-85-l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8"/>
      <w:r>
        <w:rPr>
          <w:b/>
        </w:rPr>
        <w:t xml:space="preserve">: </w:t>
      </w:r>
      <w:r>
        <w:t xml:space="preserve">Retrospective analysis (5 peels) for the Lorenzen M candidate run.</w:t>
      </w:r>
      <w:r/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:szCs w:val="24"/>
          <w14:ligatures w14:val="standardContextual"/>
        </w:rPr>
        <w:t xml:space="preserve">3.</w:t>
      </w:r>
      <w:r>
        <w:rPr>
          <w:b/>
          <w:bCs/>
          <w:szCs w:val="24"/>
          <w14:ligatures w14:val="standardContextual"/>
        </w:rPr>
        <w:tab/>
        <w:t xml:space="preserve">Reference points and stock status for both candidate runs.</w:t>
      </w:r>
      <w:r>
        <w:rPr>
          <w:b/>
          <w:bCs/>
          <w14:ligatures w14:val="standardContextual"/>
        </w:rPr>
      </w:r>
    </w:p>
    <w:p>
      <w:pPr>
        <w:pBdr/>
        <w:spacing w:after="0" w:line="240" w:lineRule="auto"/>
        <w:ind/>
        <w:rPr>
          <w:b/>
          <w:bCs/>
          <w:szCs w:val="24"/>
          <w14:ligatures w14:val="standardContextual"/>
        </w:rPr>
      </w:pPr>
      <w:r>
        <w:rPr>
          <w:b/>
          <w:bCs/>
          <w:szCs w:val="24"/>
          <w14:ligatures w14:val="standardContextual"/>
        </w:rPr>
      </w:r>
      <w:r>
        <w:rPr>
          <w:b/>
          <w:bCs/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szCs w:val="24"/>
          <w14:ligatures w14:val="standardContextual"/>
        </w:rPr>
      </w:pPr>
      <w:r>
        <w:rPr>
          <w:szCs w:val="24"/>
          <w14:ligatures w14:val="standardContextual"/>
        </w:rPr>
        <w:t xml:space="preserve">Biological reference points based on MSY were calculated utilizing a </w:t>
      </w:r>
      <w:r>
        <w:rPr>
          <w:szCs w:val="24"/>
          <w14:ligatures w14:val="standardContextual"/>
        </w:rPr>
        <w:t xml:space="preserve">Beverton</w:t>
      </w:r>
      <w:r>
        <w:rPr>
          <w:szCs w:val="24"/>
          <w14:ligatures w14:val="standardContextual"/>
        </w:rPr>
        <w:t xml:space="preserve">-Holt stock-recruitment relationship (steepness constrained by fixing b=100) (</w:t>
      </w:r>
      <w:r>
        <w:rPr>
          <w:b/>
          <w:bCs/>
          <w:szCs w:val="24"/>
          <w14:ligatures w14:val="standardContextual"/>
        </w:rPr>
        <w:t xml:space="preserve">Table 1</w:t>
      </w:r>
      <w:r>
        <w:rPr>
          <w:szCs w:val="24"/>
          <w14:ligatures w14:val="standardContextual"/>
        </w:rPr>
        <w:t xml:space="preserve">). Kobe phase plots (</w:t>
      </w:r>
      <w:r>
        <w:rPr>
          <w:b/>
          <w:bCs/>
          <w:szCs w:val="24"/>
          <w14:ligatures w14:val="standardContextual"/>
        </w:rPr>
        <w:t xml:space="preserve">Figure 12 &amp; 13</w:t>
      </w:r>
      <w:r>
        <w:rPr>
          <w:szCs w:val="24"/>
          <w14:ligatures w14:val="standardContextual"/>
        </w:rPr>
        <w:t xml:space="preserve">) summarize the temporal evolution of the stock relative to MSY benchmarks. Both candidate runs suggest that current fishing mortality is hovering near or below </w:t>
      </w:r>
      <w:r>
        <w:rPr>
          <w:i/>
          <w:iCs/>
          <w:szCs w:val="24"/>
          <w14:ligatures w14:val="standardContextual"/>
        </w:rPr>
        <w:t xml:space="preserve">F</w:t>
      </w:r>
      <w:r>
        <w:rPr>
          <w:i/>
          <w:iCs/>
          <w:szCs w:val="24"/>
          <w:vertAlign w:val="subscript"/>
          <w14:ligatures w14:val="standardContextual"/>
        </w:rPr>
        <w:t xml:space="preserve">MSY</w:t>
      </w:r>
      <w:r>
        <w:rPr>
          <w:szCs w:val="24"/>
          <w14:ligatures w14:val="standardContextual"/>
        </w:rPr>
        <w:t xml:space="preserve">, and biomass is approaching or at </w:t>
      </w:r>
      <w:r>
        <w:rPr>
          <w:i/>
          <w:iCs/>
          <w:szCs w:val="24"/>
          <w14:ligatures w14:val="standardContextual"/>
        </w:rPr>
        <w:t xml:space="preserve">B</w:t>
      </w:r>
      <w:r>
        <w:rPr>
          <w:i/>
          <w:iCs/>
          <w:szCs w:val="24"/>
          <w:vertAlign w:val="subscript"/>
          <w14:ligatures w14:val="standardContextual"/>
        </w:rPr>
        <w:t xml:space="preserve">MSY</w:t>
      </w:r>
      <w:r>
        <w:rPr>
          <w:i/>
          <w:iCs/>
          <w:szCs w:val="24"/>
          <w14:ligatures w14:val="standardContextual"/>
        </w:rPr>
        <w:t xml:space="preserve">.</w:t>
      </w:r>
      <w:r>
        <w:rPr>
          <w:szCs w:val="24"/>
          <w14:ligatures w14:val="standardContextual"/>
        </w:rPr>
        <w:t xml:space="preserve"> </w:t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b/>
          <w:szCs w:val="24"/>
          <w14:ligatures w14:val="standardContextual"/>
        </w:rPr>
      </w:pPr>
      <w:r>
        <w:rPr>
          <w:b/>
          <w:szCs w:val="24"/>
          <w14:ligatures w14:val="standardContextual"/>
        </w:rPr>
      </w:r>
      <w:r>
        <w:rPr>
          <w:b/>
          <w:szCs w:val="24"/>
          <w14:ligatures w14:val="standardContextual"/>
        </w:rPr>
      </w:r>
    </w:p>
    <w:p>
      <w:pPr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left="60"/>
        <w:jc w:val="center"/>
        <w:rPr/>
      </w:pPr>
      <w:r>
        <w:rPr>
          <w:b/>
          <w:bCs/>
        </w:rPr>
        <w:t xml:space="preserve">Table 1</w:t>
      </w:r>
      <w:r>
        <w:t xml:space="preserve">: Current stock status and MSY-based reference points for the candidate runs.</w:t>
      </w:r>
      <w:r/>
    </w:p>
    <w:tbl>
      <w:tblPr>
        <w:tblW w:w="0" w:type="auto"/>
        <w:jc w:val="center"/>
        <w:tblBorders/>
        <w:tblLayout w:type="fixed"/>
        <w:tblLook w:val="0420" w:firstRow="1" w:lastRow="0" w:firstColumn="0" w:lastColumn="0" w:noHBand="0" w:noVBand="1"/>
      </w:tblPr>
      <w:tblGrid>
        <w:gridCol w:w="1598"/>
        <w:gridCol w:w="1762"/>
        <w:gridCol w:w="1797"/>
      </w:tblGrid>
      <w:tr>
        <w:trPr>
          <w:jc w:val="center"/>
          <w:tblHeader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8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center"/>
              <w:rPr>
                <w:rFonts w:cs="Cambria"/>
                <w:b/>
                <w:bCs/>
                <w:color w:val="000000"/>
              </w:rPr>
            </w:pPr>
            <w:r>
              <w:rPr>
                <w:rFonts w:cs="Cambria"/>
                <w:b/>
                <w:bCs/>
                <w:color w:val="000000"/>
              </w:rPr>
              <w:t xml:space="preserve">Metric</w:t>
            </w:r>
            <w:r>
              <w:rPr>
                <w:rFonts w:cs="Cambria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8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center"/>
              <w:rPr>
                <w:rFonts w:cs="Cambria"/>
                <w:b/>
                <w:bCs/>
                <w:color w:val="000000"/>
              </w:rPr>
            </w:pPr>
            <w:r>
              <w:rPr>
                <w:rFonts w:cs="Cambria"/>
                <w:b/>
                <w:bCs/>
                <w:color w:val="000000"/>
              </w:rPr>
              <w:t xml:space="preserve">1985 Constant M</w:t>
            </w:r>
            <w:r>
              <w:rPr>
                <w:rFonts w:cs="Cambria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8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center"/>
              <w:rPr>
                <w:rFonts w:cs="Cambria"/>
                <w:b/>
                <w:bCs/>
                <w:color w:val="000000"/>
              </w:rPr>
            </w:pPr>
            <w:r>
              <w:rPr>
                <w:rFonts w:cs="Cambria"/>
                <w:b/>
                <w:bCs/>
                <w:color w:val="000000"/>
              </w:rPr>
              <w:t xml:space="preserve">1985 Lorenzen M</w:t>
            </w:r>
            <w:r>
              <w:rPr>
                <w:rFonts w:cs="Cambria"/>
                <w:b/>
                <w:bCs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single" w:color="666666" w:sz="8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FMSY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666666" w:sz="8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0.344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666666" w:sz="8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0.342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BMSY (t)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48,803.874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58,484.973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F2024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0.495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0.510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B2024 (t)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39,062.288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42,468.375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F2024 / FMSY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1.436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1.493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B2024 / BMSY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0.800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0.726</w:t>
            </w:r>
            <w:r>
              <w:rPr>
                <w:rFonts w:cs="Cambria"/>
                <w:color w:val="000000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8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MSY (t)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2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11,465.313</w:t>
            </w:r>
            <w:r>
              <w:rPr>
                <w:rFonts w:cs="Cambria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97" w:type="dxa"/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left="100"/>
              <w:jc w:val="right"/>
              <w:rPr>
                <w:rFonts w:cs="Cambria"/>
                <w:color w:val="000000"/>
              </w:rPr>
            </w:pPr>
            <w:r>
              <w:rPr>
                <w:rFonts w:cs="Cambria"/>
                <w:color w:val="000000"/>
              </w:rPr>
              <w:t xml:space="preserve">11,591.307</w:t>
            </w:r>
            <w:r>
              <w:rPr>
                <w:rFonts w:cs="Cambria"/>
                <w:color w:val="000000"/>
              </w:rPr>
            </w:r>
          </w:p>
        </w:tc>
      </w:tr>
    </w:tbl>
    <w:p>
      <w:pPr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left="60"/>
        <w:jc w:val="center"/>
        <w:rPr/>
      </w:pPr>
      <w:r/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795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3.55pt;height:291.5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</w:t>
      </w:r>
      <w:bookmarkStart w:id="9" w:name="kobe-c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9"/>
      <w:r>
        <w:rPr>
          <w:b/>
        </w:rPr>
        <w:t xml:space="preserve">12: </w:t>
      </w:r>
      <w:r>
        <w:t xml:space="preserve">Kobe phase plot for the Constant M and trajectories of SSB, F and B.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702912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7667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084" cy="37029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55pt;height:291.5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13</w:t>
      </w:r>
      <w:bookmarkStart w:id="10" w:name="kobe-l"/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bookmarkEnd w:id="10"/>
      <w:r>
        <w:rPr>
          <w:b/>
        </w:rPr>
        <w:t xml:space="preserve">: </w:t>
      </w:r>
      <w:r>
        <w:t xml:space="preserve">Kobe phase plot for the Lorenzen M and trajectories of SSB, F and B.</w:t>
      </w:r>
      <w:r/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:szCs w:val="24"/>
          <w14:ligatures w14:val="standardContextual"/>
        </w:rPr>
        <w:t xml:space="preserve">4.</w:t>
      </w:r>
      <w:r>
        <w:rPr>
          <w:b/>
          <w:bCs/>
          <w:szCs w:val="24"/>
          <w14:ligatures w14:val="standardContextual"/>
        </w:rPr>
        <w:tab/>
        <w:t xml:space="preserve">Sensitivity Runs</w:t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/>
      </w:pPr>
      <w:r>
        <w:rPr>
          <w:szCs w:val="24"/>
          <w14:ligatures w14:val="standardContextual"/>
        </w:rPr>
        <w:t xml:space="preserve">To evaluate the robustness of the assessment </w:t>
      </w:r>
      <w:r>
        <w:rPr>
          <w:szCs w:val="24"/>
          <w14:ligatures w14:val="standardContextual"/>
        </w:rPr>
        <w:t xml:space="preserve">to</w:t>
      </w:r>
      <w:r>
        <w:rPr>
          <w:szCs w:val="24"/>
          <w14:ligatures w14:val="standardContextual"/>
        </w:rPr>
        <w:t xml:space="preserve"> historical data truncation and index selection, two sensitivity runs were evaluated. Sensitivity 1 extended the historical period back to 1978, while Sensitivity </w:t>
      </w:r>
      <w:r>
        <w:rPr>
          <w:szCs w:val="24"/>
          <w14:ligatures w14:val="standardContextual"/>
        </w:rPr>
        <w:t xml:space="preserve">2 maintained the 1985 start year but incorporated two additional historical tuning indices (Sicilian Gillnet and Ligurian Surface Longline).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The </w:t>
      </w:r>
      <w:r>
        <w:rPr>
          <w:szCs w:val="24"/>
          <w14:ligatures w14:val="standardContextual"/>
        </w:rPr>
        <w:t xml:space="preserve">trajectories</w:t>
      </w:r>
      <w:r>
        <w:rPr>
          <w:szCs w:val="24"/>
          <w14:ligatures w14:val="standardContextual"/>
        </w:rPr>
        <w:t xml:space="preserve"> of both sensitivity runs (</w:t>
      </w:r>
      <w:r>
        <w:rPr>
          <w:b/>
          <w:bCs/>
          <w:szCs w:val="24"/>
          <w14:ligatures w14:val="standardContextual"/>
        </w:rPr>
        <w:t xml:space="preserve">Figure 14</w:t>
      </w:r>
      <w:r>
        <w:rPr>
          <w:szCs w:val="24"/>
          <w14:ligatures w14:val="standardContextual"/>
        </w:rPr>
        <w:t xml:space="preserve">) align closely with the 1985 baseline candidate run. The inclusion of the early historical catch (1978-1984) and the extra indices </w:t>
      </w:r>
      <w:r>
        <w:rPr>
          <w:szCs w:val="24"/>
          <w14:ligatures w14:val="standardContextual"/>
        </w:rPr>
        <w:t xml:space="preserve">shifts</w:t>
      </w:r>
      <w:r>
        <w:rPr>
          <w:szCs w:val="24"/>
          <w14:ligatures w14:val="standardContextual"/>
        </w:rPr>
        <w:t xml:space="preserve"> the absolute scale</w:t>
      </w:r>
      <w:r>
        <w:rPr>
          <w:szCs w:val="24"/>
          <w14:ligatures w14:val="standardContextual"/>
        </w:rPr>
        <w:t xml:space="preserve"> of the historical biomass slightly, but the terminal estimates of fishing mortality and stock depletion remain highly consistent. This indicates that the 1985 truncation and the selection of the 5 core indices provide a stable and representative baseline.</w:t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114346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476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60084" cy="411434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55pt;height:323.9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14:ligatures w14:val="standardContextual"/>
        </w:rPr>
      </w:r>
    </w:p>
    <w:p>
      <w:pPr>
        <w:pStyle w:val="1009"/>
        <w:pBdr/>
        <w:spacing/>
        <w:ind/>
        <w:rPr/>
      </w:pPr>
      <w:r>
        <w:rPr>
          <w:b/>
        </w:rPr>
        <w:t xml:space="preserve">Figure 14</w:t>
      </w:r>
      <w:r>
        <w:rPr>
          <w:b/>
        </w:rPr>
        <w:fldChar w:fldCharType="begin"/>
      </w:r>
      <w:r>
        <w:rPr>
          <w:b/>
        </w:rPr>
        <w:instrText xml:space="preserve">SEQ fig \* Arabic</w:instrText>
      </w:r>
      <w:r>
        <w:rPr>
          <w:b/>
        </w:rPr>
        <w:fldChar w:fldCharType="end"/>
      </w:r>
      <w:r>
        <w:rPr>
          <w:b/>
        </w:rPr>
        <w:t xml:space="preserve">: </w:t>
      </w:r>
      <w:r>
        <w:t xml:space="preserve">Stock trajectories of reference run of Constant M and the two Sensitivity Runs</w:t>
      </w:r>
      <w:r/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b/>
          <w:bCs/>
          <w14:ligatures w14:val="standardContextual"/>
        </w:rPr>
      </w:pPr>
      <w:r>
        <w:rPr>
          <w:b/>
          <w:bCs/>
          <w:szCs w:val="24"/>
          <w14:ligatures w14:val="standardContextual"/>
        </w:rPr>
        <w:t xml:space="preserve">5.</w:t>
      </w:r>
      <w:r>
        <w:rPr>
          <w:b/>
          <w:bCs/>
          <w:szCs w:val="24"/>
          <w14:ligatures w14:val="standardContextual"/>
        </w:rPr>
        <w:tab/>
        <w:t xml:space="preserve">Discussion</w:t>
      </w:r>
      <w:r>
        <w:rPr>
          <w:b/>
          <w:bCs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:szCs w:val="24"/>
          <w14:ligatures w14:val="standardContextual"/>
        </w:rPr>
        <w:t xml:space="preserve">The exploratory models address specific structural constraints present in the continuity run by enabling flexible selectivity tracking and examining an alternative biological scenar</w:t>
      </w:r>
      <w:r>
        <w:rPr>
          <w:szCs w:val="24"/>
          <w14:ligatures w14:val="standardContextual"/>
        </w:rPr>
        <w:t xml:space="preserve">io for natural mortality. Incorporating the tensor product interaction resolves residual patterns in catch-at-age compared to simple additive age-year structures, allowing for shifting fleet selection to be modeled statistically rather than fixed a priori.</w:t>
      </w:r>
      <w:r>
        <w:rPr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jc w:val="both"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widowControl w:val="false"/>
        <w:pBdr/>
        <w:spacing w:after="0" w:line="240" w:lineRule="auto"/>
        <w:ind/>
        <w:rPr>
          <w:rFonts w:eastAsia="Times New Roman"/>
          <w:i/>
        </w:rPr>
      </w:pPr>
      <w:r>
        <w:rPr>
          <w:rFonts w:eastAsia="Times New Roman"/>
          <w:i/>
        </w:rPr>
      </w:r>
      <w:r>
        <w:rPr>
          <w:rFonts w:eastAsia="Times New Roman"/>
          <w:i/>
        </w:rPr>
      </w:r>
    </w:p>
    <w:p>
      <w:pPr>
        <w:pBdr/>
        <w:spacing w:after="0" w:line="240" w:lineRule="auto"/>
        <w:ind/>
        <w:rPr>
          <w:b/>
          <w:szCs w:val="24"/>
          <w14:ligatures w14:val="standardContextual"/>
        </w:rPr>
      </w:pPr>
      <w:r>
        <w:rPr>
          <w:b/>
          <w:szCs w:val="24"/>
          <w14:ligatures w14:val="standardContextual"/>
        </w:rPr>
        <w:t xml:space="preserve">References</w:t>
      </w:r>
      <w:r>
        <w:rPr>
          <w:b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szCs w:val="24"/>
          <w14:ligatures w14:val="standardContextual"/>
        </w:rPr>
      </w:pPr>
      <w:r>
        <w:rPr>
          <w:szCs w:val="24"/>
          <w14:ligatures w14:val="standardContextual"/>
        </w:rPr>
      </w:r>
      <w:r>
        <w:rPr>
          <w:szCs w:val="24"/>
          <w14:ligatures w14:val="standardContextual"/>
        </w:rPr>
      </w:r>
    </w:p>
    <w:p>
      <w:pPr>
        <w:pBdr/>
        <w:spacing w:after="0" w:line="240" w:lineRule="auto"/>
        <w:ind w:hanging="426" w:left="426"/>
        <w:jc w:val="both"/>
        <w:rPr>
          <w:rFonts w:eastAsia="Times New Roman"/>
        </w:rPr>
      </w:pPr>
      <w:r>
        <w:rPr>
          <w:szCs w:val="24"/>
          <w14:ligatures w14:val="standardContextual"/>
        </w:rPr>
        <w:t xml:space="preserve">Anon. (2020). Report of the 2020 ICCAT Mediterranean swordfish stock assessment meeting. Collect. Vol. Sci. Pap. ICCAT, 77(3): 179-316.</w:t>
      </w:r>
      <w:r>
        <w:rPr>
          <w:rFonts w:eastAsia="Times New Roman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 w:hanging="426" w:left="426"/>
        <w:jc w:val="both"/>
        <w:rPr>
          <w14:ligatures w14:val="standardContextual"/>
        </w:rPr>
      </w:pPr>
      <w:r>
        <w:rPr>
          <w14:ligatures w14:val="standardContextual"/>
        </w:rPr>
        <w:t xml:space="preserve">Jardim, E., Millar, C. P., Mosqueira, I., Scott, F., Osio, G. C., Ferretti, M., </w:t>
      </w:r>
      <w:r>
        <w:rPr>
          <w14:ligatures w14:val="standardContextual"/>
        </w:rPr>
        <w:t xml:space="preserve">Alzorriz</w:t>
      </w:r>
      <w:r>
        <w:rPr>
          <w14:ligatures w14:val="standardContextual"/>
        </w:rPr>
        <w:t xml:space="preserve">, N., Orio, A. (2015). What if stock assessment is as simple as a linear model? The a4a initiative. ICES Journal of Marine Science, 72(1), 232-236.</w:t>
      </w:r>
      <w:r>
        <w:rPr>
          <w14:ligatures w14:val="standardContextual"/>
        </w:rPr>
      </w:r>
    </w:p>
    <w:p>
      <w:pPr>
        <w:pBdr/>
        <w:spacing w:after="0" w:line="240" w:lineRule="auto"/>
        <w:ind/>
        <w:rPr>
          <w14:ligatures w14:val="standardContextual"/>
        </w:rPr>
      </w:pPr>
      <w:r>
        <w:rPr>
          <w14:ligatures w14:val="standardContextual"/>
        </w:rPr>
      </w:r>
      <w:r>
        <w:rPr>
          <w14:ligatures w14:val="standardContextual"/>
        </w:rPr>
      </w:r>
    </w:p>
    <w:p>
      <w:pPr>
        <w:pBdr/>
        <w:spacing w:after="0" w:line="240" w:lineRule="auto"/>
        <w:ind w:hanging="426" w:left="426"/>
        <w:rPr>
          <w14:ligatures w14:val="standardContextual"/>
        </w:rPr>
      </w:pPr>
      <w:r>
        <w:rPr>
          <w14:ligatures w14:val="standardContextual"/>
        </w:rPr>
        <w:t xml:space="preserve">Mantopoulou-Palouka</w:t>
      </w:r>
      <w:r>
        <w:rPr>
          <w14:ligatures w14:val="standardContextual"/>
        </w:rPr>
        <w:t xml:space="preserve">, D., </w:t>
      </w:r>
      <w:r>
        <w:rPr>
          <w14:ligatures w14:val="standardContextual"/>
        </w:rPr>
        <w:t xml:space="preserve">Tserpes</w:t>
      </w:r>
      <w:r>
        <w:rPr>
          <w14:ligatures w14:val="standardContextual"/>
        </w:rPr>
        <w:t xml:space="preserve">, G. (2020). Assessment of the Mediterranean Swordfish stock by means of Assessment for All. Collect. Vol. Sci. Pap. ICCAT, 77(3): 482-507.</w:t>
      </w:r>
      <w:r>
        <w:rPr>
          <w14:ligatures w14:val="standardContextual"/>
        </w:rPr>
      </w:r>
    </w:p>
    <w:p>
      <w:pPr>
        <w:pBdr/>
        <w:spacing w:after="0" w:line="240" w:lineRule="auto"/>
        <w:ind w:right="112" w:left="1418"/>
        <w:jc w:val="right"/>
        <w:rPr>
          <w:b/>
          <w:bCs/>
          <w14:ligatures w14:val="standardContextual"/>
        </w:rPr>
        <w:sectPr>
          <w:headerReference w:type="first" r:id="rId9"/>
          <w:footerReference w:type="default" r:id="rId11"/>
          <w:footerReference w:type="first" r:id="rId12"/>
          <w:footnotePr/>
          <w:endnotePr/>
          <w:type w:val="nextPage"/>
          <w:pgSz w:h="16840" w:orient="portrait" w:w="11907"/>
          <w:pgMar w:top="1418" w:right="1418" w:bottom="1418" w:left="1418" w:header="851" w:footer="1134" w:gutter="0"/>
          <w:cols w:num="1" w:sep="0" w:space="720" w:equalWidth="1"/>
          <w:titlePg/>
        </w:sectPr>
      </w:pPr>
      <w:r>
        <w:rPr>
          <w:b/>
          <w:bCs/>
          <w14:ligatures w14:val="standardContextual"/>
        </w:rPr>
      </w:r>
      <w:r>
        <w:rPr>
          <w:b/>
          <w:bCs/>
          <w14:ligatures w14:val="standardContextual"/>
        </w:rPr>
      </w:r>
    </w:p>
    <w:p>
      <w:pPr>
        <w:pBdr/>
        <w:spacing w:after="0" w:line="240" w:lineRule="auto"/>
        <w:ind/>
        <w:rPr/>
      </w:pPr>
      <w:r/>
      <w:r/>
    </w:p>
    <w:sectPr>
      <w:headerReference w:type="default" r:id="rId10"/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535"/>
        <w:tab w:val="center" w:leader="none" w:pos="4680"/>
        <w:tab w:val="left" w:leader="none" w:pos="6150"/>
        <w:tab w:val="right" w:leader="none" w:pos="9360"/>
      </w:tabs>
      <w:spacing w:after="0" w:line="240" w:lineRule="auto"/>
      <w:ind/>
      <w:jc w:val="center"/>
      <w:rPr>
        <w:rFonts w:eastAsia="Calibri" w:cs="Calibri"/>
      </w:rPr>
    </w:pPr>
    <w:r>
      <w:rPr>
        <w:rFonts w:eastAsia="Calibri" w:cs="Calibri"/>
      </w:rPr>
    </w:r>
    <w:r>
      <w:rPr>
        <w:rFonts w:eastAsia="Calibri" w:cs="Calibri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535"/>
        <w:tab w:val="center" w:leader="none" w:pos="4680"/>
        <w:tab w:val="left" w:leader="none" w:pos="6150"/>
        <w:tab w:val="right" w:leader="none" w:pos="9360"/>
      </w:tabs>
      <w:spacing w:after="0" w:line="240" w:lineRule="auto"/>
      <w:ind/>
      <w:jc w:val="center"/>
      <w:rPr>
        <w:rFonts w:eastAsia="Calibri" w:cs="Calibri"/>
      </w:rPr>
    </w:pPr>
    <w:r/>
    <w:sdt>
      <w:sdtPr>
        <w15:appearance w15:val="boundingBox"/>
        <w:id w:val="1714536375"/>
        <w:docPartObj>
          <w:docPartGallery w:val="Page Numbers (Top of Page)"/>
          <w:docPartUnique w:val="true"/>
        </w:docPartObj>
        <w:rPr>
          <w:rFonts w:ascii="Calibri" w:hAnsi="Calibri" w:eastAsia="Calibri" w:cs="Calibri"/>
        </w:rPr>
      </w:sdtPr>
      <w:sdtContent>
        <w:r>
          <w:rPr>
            <w:rFonts w:eastAsia="Calibri" w:cs="Calibri"/>
          </w:rPr>
          <w:fldChar w:fldCharType="begin"/>
        </w:r>
        <w:r>
          <w:rPr>
            <w:rFonts w:eastAsia="Calibri" w:cs="Calibri"/>
          </w:rPr>
          <w:instrText xml:space="preserve"> PAGE </w:instrText>
        </w:r>
        <w:r>
          <w:rPr>
            <w:rFonts w:eastAsia="Calibri" w:cs="Calibri"/>
          </w:rPr>
          <w:fldChar w:fldCharType="separate"/>
        </w:r>
        <w:r>
          <w:rPr>
            <w:rFonts w:eastAsia="Calibri" w:cs="Calibri"/>
          </w:rPr>
          <w:t xml:space="preserve">6</w:t>
        </w:r>
        <w:r>
          <w:rPr>
            <w:rFonts w:eastAsia="Calibri" w:cs="Calibri"/>
          </w:rPr>
          <w:fldChar w:fldCharType="end"/>
        </w:r>
        <w:r>
          <w:rPr>
            <w:rFonts w:eastAsia="Calibri" w:cs="Calibri"/>
          </w:rPr>
          <w:t xml:space="preserve"> / </w:t>
        </w:r>
        <w:r>
          <w:rPr>
            <w:rFonts w:eastAsia="Calibri" w:cs="Calibri"/>
          </w:rPr>
          <w:fldChar w:fldCharType="begin"/>
        </w:r>
        <w:r>
          <w:rPr>
            <w:rFonts w:eastAsia="Calibri" w:cs="Calibri"/>
          </w:rPr>
          <w:instrText xml:space="preserve"> NUMPAGES  </w:instrText>
        </w:r>
        <w:r>
          <w:rPr>
            <w:rFonts w:eastAsia="Calibri" w:cs="Calibri"/>
          </w:rPr>
          <w:fldChar w:fldCharType="separate"/>
        </w:r>
        <w:r>
          <w:rPr>
            <w:rFonts w:eastAsia="Calibri" w:cs="Calibri"/>
          </w:rPr>
          <w:t xml:space="preserve">18</w:t>
        </w:r>
        <w:r>
          <w:rPr>
            <w:rFonts w:eastAsia="Calibri" w:cs="Calibri"/>
          </w:rPr>
          <w:fldChar w:fldCharType="end"/>
        </w:r>
      </w:sdtContent>
    </w:sdt>
    <w:r/>
    <w:r>
      <w:rPr>
        <w:rFonts w:eastAsia="Calibri" w:cs="Calibri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96"/>
        <w:pBdr/>
        <w:spacing/>
        <w:ind/>
        <w:rPr>
          <w:sz w:val="16"/>
          <w:szCs w:val="16"/>
        </w:rPr>
      </w:pPr>
      <w:r>
        <w:rPr>
          <w:rStyle w:val="998"/>
          <w:sz w:val="16"/>
          <w:szCs w:val="16"/>
        </w:rPr>
        <w:footnoteRef/>
      </w:r>
      <w:r>
        <w:rPr>
          <w:sz w:val="16"/>
          <w:szCs w:val="16"/>
        </w:rPr>
        <w:t xml:space="preserve"> Joint Research Center. Corresponding author: </w:t>
      </w:r>
      <w:hyperlink r:id="rId1" w:tooltip="mailto:Danai.MANTOPOULOU-PALOUKA@ec.europa.eu" w:history="1">
        <w:r>
          <w:rPr>
            <w:rStyle w:val="1001"/>
            <w:sz w:val="16"/>
            <w:szCs w:val="16"/>
          </w:rPr>
          <w:t xml:space="preserve">Danai.MANTOPOULOU-PALOUKA@ec.europa.eu</w:t>
        </w:r>
      </w:hyperlink>
      <w:r/>
      <w:r>
        <w:rPr>
          <w:sz w:val="16"/>
          <w:szCs w:val="16"/>
        </w:rPr>
      </w:r>
    </w:p>
  </w:footnote>
  <w:footnote w:id="3">
    <w:p>
      <w:pPr>
        <w:pStyle w:val="996"/>
        <w:pBdr/>
        <w:spacing/>
        <w:ind/>
        <w:rPr>
          <w:sz w:val="16"/>
          <w:szCs w:val="16"/>
        </w:rPr>
      </w:pPr>
      <w:r>
        <w:rPr>
          <w:rStyle w:val="998"/>
          <w:sz w:val="16"/>
          <w:szCs w:val="16"/>
        </w:rPr>
        <w:footnoteRef/>
      </w:r>
      <w:r>
        <w:rPr>
          <w:sz w:val="16"/>
          <w:szCs w:val="16"/>
        </w:rPr>
        <w:t xml:space="preserve"> Hellenic Center for Marine Research, Heraklion, Greece</w:t>
      </w:r>
      <w:r>
        <w:rPr>
          <w:sz w:val="16"/>
          <w:szCs w:val="16"/>
        </w:rPr>
      </w:r>
    </w:p>
  </w:footnote>
  <w:footnote w:id="4">
    <w:p>
      <w:pPr>
        <w:pStyle w:val="996"/>
        <w:pBdr/>
        <w:spacing/>
        <w:ind/>
        <w:rPr>
          <w:sz w:val="16"/>
          <w:szCs w:val="16"/>
        </w:rPr>
      </w:pPr>
      <w:r>
        <w:rPr>
          <w:rStyle w:val="998"/>
          <w:sz w:val="16"/>
          <w:szCs w:val="16"/>
        </w:rPr>
        <w:footnoteRef/>
      </w:r>
      <w:r>
        <w:rPr>
          <w:sz w:val="16"/>
          <w:szCs w:val="16"/>
        </w:rPr>
        <w:t xml:space="preserve"> International Commission for the Conservation of Atlantic Tunas, Madrid Spain</w:t>
      </w:r>
      <w:r>
        <w:rPr>
          <w:sz w:val="16"/>
          <w:szCs w:val="16"/>
        </w:rPr>
      </w:r>
    </w:p>
  </w:footnote>
  <w:footnote w:id="5">
    <w:p>
      <w:pPr>
        <w:pStyle w:val="996"/>
        <w:pBdr/>
        <w:spacing/>
        <w:ind/>
        <w:rPr>
          <w:sz w:val="16"/>
          <w:szCs w:val="16"/>
        </w:rPr>
      </w:pPr>
      <w:r>
        <w:rPr>
          <w:rStyle w:val="998"/>
          <w:sz w:val="16"/>
          <w:szCs w:val="16"/>
        </w:rPr>
        <w:footnoteRef/>
      </w:r>
      <w:r>
        <w:rPr>
          <w:sz w:val="16"/>
          <w:szCs w:val="16"/>
        </w:rPr>
        <w:t xml:space="preserve"> Portuguese Institute for Sea and Atmosphere, Lisbon, Portugal</w:t>
      </w:r>
      <w:r>
        <w:rPr>
          <w:sz w:val="16"/>
          <w:szCs w:val="16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>
      <w:rPr>
        <w:rFonts w:ascii="Arial" w:hAnsi="Arial" w:cs="Arial"/>
        <w:szCs w:val="24"/>
        <w14:ligatures w14:val="standardContextual"/>
      </w:rPr>
      <w:t xml:space="preserve">SCRS/</w:t>
    </w:r>
    <w:r>
      <w:rPr>
        <w:rFonts w:ascii="Arial" w:hAnsi="Arial" w:cs="Arial"/>
        <w14:ligatures w14:val="standardContextual"/>
      </w:rPr>
      <w:t xml:space="preserve">202</w:t>
    </w:r>
    <w:r>
      <w:rPr>
        <w:rFonts w:ascii="Arial" w:hAnsi="Arial" w:cs="Arial"/>
        <w:szCs w:val="24"/>
        <w14:ligatures w14:val="standardContextual"/>
      </w:rPr>
      <w:t xml:space="preserve">6/170</w:t>
    </w:r>
    <w:r/>
  </w:p>
  <w:p>
    <w:pPr>
      <w:pStyle w:val="99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spacing/>
        <w:ind w:hanging="360" w:left="768"/>
      </w:pPr>
      <w:rPr>
        <w:rFonts w:hint="default" w:ascii="Symbol" w:hAnsi="Symbol"/>
        <w:color w:val="26262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num w:numId="1">
    <w:abstractNumId w:val="5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13" w:default="1">
    <w:name w:val="Normal"/>
    <w:qFormat/>
    <w:pPr>
      <w:pBdr/>
      <w:spacing w:line="254" w:lineRule="auto"/>
      <w:ind/>
    </w:pPr>
    <w:rPr>
      <w:rFonts w:ascii="Cambria" w:hAnsi="Cambria" w:eastAsia="Cambria" w:cs="Times New Roman"/>
      <w14:ligatures w14:val="none"/>
    </w:rPr>
  </w:style>
  <w:style w:type="paragraph" w:styleId="814">
    <w:name w:val="Heading 1"/>
    <w:basedOn w:val="816"/>
    <w:next w:val="813"/>
    <w:link w:val="974"/>
    <w:uiPriority w:val="9"/>
    <w:qFormat/>
    <w:pPr>
      <w:pBdr/>
      <w:spacing/>
      <w:ind/>
      <w:outlineLvl w:val="0"/>
    </w:pPr>
  </w:style>
  <w:style w:type="paragraph" w:styleId="815">
    <w:name w:val="Heading 2"/>
    <w:basedOn w:val="813"/>
    <w:next w:val="813"/>
    <w:link w:val="975"/>
    <w:uiPriority w:val="9"/>
    <w:semiHidden/>
    <w:unhideWhenUsed/>
    <w:qFormat/>
    <w:pPr>
      <w:pBdr/>
      <w:spacing w:after="0" w:line="240" w:lineRule="auto"/>
      <w:ind/>
      <w:outlineLvl w:val="1"/>
    </w:pPr>
    <w:rPr>
      <w:b/>
      <w:bCs/>
      <w:szCs w:val="24"/>
      <w14:ligatures w14:val="standardContextual"/>
    </w:rPr>
  </w:style>
  <w:style w:type="paragraph" w:styleId="816">
    <w:name w:val="Heading 3"/>
    <w:basedOn w:val="815"/>
    <w:next w:val="813"/>
    <w:link w:val="976"/>
    <w:uiPriority w:val="9"/>
    <w:semiHidden/>
    <w:unhideWhenUsed/>
    <w:qFormat/>
    <w:pPr>
      <w:pBdr/>
      <w:spacing/>
      <w:ind/>
      <w:outlineLvl w:val="2"/>
    </w:pPr>
  </w:style>
  <w:style w:type="paragraph" w:styleId="817">
    <w:name w:val="Heading 4"/>
    <w:basedOn w:val="813"/>
    <w:next w:val="813"/>
    <w:link w:val="9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18">
    <w:name w:val="Heading 5"/>
    <w:basedOn w:val="813"/>
    <w:next w:val="813"/>
    <w:link w:val="97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19">
    <w:name w:val="Heading 6"/>
    <w:basedOn w:val="813"/>
    <w:next w:val="813"/>
    <w:link w:val="97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20">
    <w:name w:val="Heading 7"/>
    <w:basedOn w:val="813"/>
    <w:next w:val="813"/>
    <w:link w:val="98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21">
    <w:name w:val="Heading 8"/>
    <w:basedOn w:val="813"/>
    <w:next w:val="813"/>
    <w:link w:val="98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22">
    <w:name w:val="Heading 9"/>
    <w:basedOn w:val="813"/>
    <w:next w:val="813"/>
    <w:link w:val="98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table" w:styleId="82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5" w:default="1">
    <w:name w:val="No List"/>
    <w:uiPriority w:val="99"/>
    <w:semiHidden/>
    <w:unhideWhenUsed/>
    <w:pPr>
      <w:pBdr/>
      <w:spacing/>
      <w:ind/>
    </w:pPr>
  </w:style>
  <w:style w:type="table" w:styleId="826">
    <w:name w:val="Table Grid"/>
    <w:basedOn w:val="82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Light"/>
    <w:basedOn w:val="8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1"/>
    <w:basedOn w:val="8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2"/>
    <w:basedOn w:val="82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Accent 1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Accent 2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Accent 3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Accent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Accent 5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Accent 6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5 Dark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1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2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3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ned - Accent 4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ned - Accent 5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ned - Accent 6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1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2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3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&amp; Lined - Accent 4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&amp; Lined - Accent 5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&amp; Lined - Accent 6"/>
    <w:basedOn w:val="824"/>
    <w:uiPriority w:val="99"/>
    <w:pPr>
      <w:pBdr/>
      <w:spacing w:after="0" w:line="240" w:lineRule="auto"/>
      <w:ind/>
    </w:pPr>
    <w:rPr>
      <w:color w:val="40404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955">
    <w:name w:val="Strong"/>
    <w:basedOn w:val="823"/>
    <w:uiPriority w:val="22"/>
    <w:qFormat/>
    <w:pPr>
      <w:pBdr/>
      <w:spacing/>
      <w:ind/>
    </w:pPr>
    <w:rPr>
      <w:b/>
      <w:bCs/>
    </w:rPr>
  </w:style>
  <w:style w:type="character" w:styleId="956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7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8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9">
    <w:name w:val="endnote text"/>
    <w:basedOn w:val="813"/>
    <w:link w:val="960"/>
    <w:uiPriority w:val="99"/>
    <w:semiHidden/>
    <w:unhideWhenUsed/>
    <w:pPr>
      <w:pBdr/>
      <w:spacing w:after="0" w:line="240" w:lineRule="auto"/>
      <w:ind/>
    </w:pPr>
  </w:style>
  <w:style w:type="character" w:styleId="960" w:customStyle="1">
    <w:name w:val="Endnote Text Char"/>
    <w:basedOn w:val="823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962">
    <w:name w:val="FollowedHyperlink"/>
    <w:basedOn w:val="823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63">
    <w:name w:val="toc 1"/>
    <w:basedOn w:val="813"/>
    <w:next w:val="813"/>
    <w:uiPriority w:val="39"/>
    <w:unhideWhenUsed/>
    <w:pPr>
      <w:pBdr/>
      <w:spacing w:after="100"/>
      <w:ind/>
    </w:pPr>
  </w:style>
  <w:style w:type="paragraph" w:styleId="964">
    <w:name w:val="toc 2"/>
    <w:basedOn w:val="813"/>
    <w:next w:val="813"/>
    <w:uiPriority w:val="39"/>
    <w:unhideWhenUsed/>
    <w:pPr>
      <w:pBdr/>
      <w:spacing w:after="100"/>
      <w:ind w:left="220"/>
    </w:pPr>
  </w:style>
  <w:style w:type="paragraph" w:styleId="965">
    <w:name w:val="toc 3"/>
    <w:basedOn w:val="813"/>
    <w:next w:val="813"/>
    <w:uiPriority w:val="39"/>
    <w:unhideWhenUsed/>
    <w:pPr>
      <w:pBdr/>
      <w:spacing w:after="100"/>
      <w:ind w:left="440"/>
    </w:pPr>
  </w:style>
  <w:style w:type="paragraph" w:styleId="966">
    <w:name w:val="toc 4"/>
    <w:basedOn w:val="813"/>
    <w:next w:val="813"/>
    <w:uiPriority w:val="39"/>
    <w:unhideWhenUsed/>
    <w:pPr>
      <w:pBdr/>
      <w:spacing w:after="100"/>
      <w:ind w:left="660"/>
    </w:pPr>
  </w:style>
  <w:style w:type="paragraph" w:styleId="967">
    <w:name w:val="toc 5"/>
    <w:basedOn w:val="813"/>
    <w:next w:val="813"/>
    <w:uiPriority w:val="39"/>
    <w:unhideWhenUsed/>
    <w:pPr>
      <w:pBdr/>
      <w:spacing w:after="100"/>
      <w:ind w:left="880"/>
    </w:pPr>
  </w:style>
  <w:style w:type="paragraph" w:styleId="968">
    <w:name w:val="toc 6"/>
    <w:basedOn w:val="813"/>
    <w:next w:val="813"/>
    <w:uiPriority w:val="39"/>
    <w:unhideWhenUsed/>
    <w:pPr>
      <w:pBdr/>
      <w:spacing w:after="100"/>
      <w:ind w:left="1100"/>
    </w:pPr>
  </w:style>
  <w:style w:type="paragraph" w:styleId="969">
    <w:name w:val="toc 7"/>
    <w:basedOn w:val="813"/>
    <w:next w:val="813"/>
    <w:uiPriority w:val="39"/>
    <w:unhideWhenUsed/>
    <w:pPr>
      <w:pBdr/>
      <w:spacing w:after="100"/>
      <w:ind w:left="1320"/>
    </w:pPr>
  </w:style>
  <w:style w:type="paragraph" w:styleId="970">
    <w:name w:val="toc 8"/>
    <w:basedOn w:val="813"/>
    <w:next w:val="813"/>
    <w:uiPriority w:val="39"/>
    <w:unhideWhenUsed/>
    <w:pPr>
      <w:pBdr/>
      <w:spacing w:after="100"/>
      <w:ind w:left="1540"/>
    </w:pPr>
  </w:style>
  <w:style w:type="paragraph" w:styleId="971">
    <w:name w:val="toc 9"/>
    <w:basedOn w:val="813"/>
    <w:next w:val="813"/>
    <w:uiPriority w:val="39"/>
    <w:unhideWhenUsed/>
    <w:pPr>
      <w:pBdr/>
      <w:spacing w:after="100"/>
      <w:ind w:left="1760"/>
    </w:p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813"/>
    <w:next w:val="813"/>
    <w:uiPriority w:val="99"/>
    <w:unhideWhenUsed/>
    <w:pPr>
      <w:pBdr/>
      <w:spacing w:after="0"/>
      <w:ind/>
    </w:pPr>
  </w:style>
  <w:style w:type="character" w:styleId="974" w:customStyle="1">
    <w:name w:val="Heading 1 Char"/>
    <w:link w:val="814"/>
    <w:uiPriority w:val="9"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75" w:customStyle="1">
    <w:name w:val="Heading 2 Char"/>
    <w:link w:val="815"/>
    <w:uiPriority w:val="9"/>
    <w:semiHidden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76" w:customStyle="1">
    <w:name w:val="Heading 3 Char"/>
    <w:link w:val="816"/>
    <w:uiPriority w:val="9"/>
    <w:semiHidden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77" w:customStyle="1">
    <w:name w:val="Heading 4 Char"/>
    <w:basedOn w:val="823"/>
    <w:link w:val="81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78" w:customStyle="1">
    <w:name w:val="Heading 5 Char"/>
    <w:basedOn w:val="823"/>
    <w:link w:val="81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79" w:customStyle="1">
    <w:name w:val="Heading 6 Char"/>
    <w:basedOn w:val="823"/>
    <w:link w:val="81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80" w:customStyle="1">
    <w:name w:val="Heading 7 Char"/>
    <w:basedOn w:val="823"/>
    <w:link w:val="82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81" w:customStyle="1">
    <w:name w:val="Heading 8 Char"/>
    <w:basedOn w:val="823"/>
    <w:link w:val="82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82" w:customStyle="1">
    <w:name w:val="Heading 9 Char"/>
    <w:basedOn w:val="823"/>
    <w:link w:val="82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83">
    <w:name w:val="Title"/>
    <w:basedOn w:val="813"/>
    <w:next w:val="813"/>
    <w:link w:val="984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b/>
      <w:spacing w:val="-4"/>
      <w:sz w:val="24"/>
      <w:szCs w:val="24"/>
    </w:rPr>
  </w:style>
  <w:style w:type="character" w:styleId="984" w:customStyle="1">
    <w:name w:val="Title Char"/>
    <w:basedOn w:val="823"/>
    <w:link w:val="983"/>
    <w:uiPriority w:val="10"/>
    <w:pPr>
      <w:pBdr/>
      <w:spacing/>
      <w:ind/>
    </w:pPr>
    <w:rPr>
      <w:rFonts w:asciiTheme="majorHAnsi" w:hAnsiTheme="majorHAnsi" w:eastAsiaTheme="majorEastAsia" w:cstheme="majorBidi"/>
      <w:b/>
      <w:spacing w:val="-4"/>
      <w:sz w:val="24"/>
      <w:szCs w:val="24"/>
    </w:rPr>
  </w:style>
  <w:style w:type="paragraph" w:styleId="985">
    <w:name w:val="Subtitle"/>
    <w:basedOn w:val="813"/>
    <w:next w:val="813"/>
    <w:link w:val="98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86" w:customStyle="1">
    <w:name w:val="Subtitle Char"/>
    <w:basedOn w:val="823"/>
    <w:link w:val="98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87">
    <w:name w:val="Quote"/>
    <w:basedOn w:val="813"/>
    <w:next w:val="813"/>
    <w:link w:val="9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8" w:customStyle="1">
    <w:name w:val="Quote Char"/>
    <w:basedOn w:val="823"/>
    <w:link w:val="98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9">
    <w:name w:val="List Paragraph"/>
    <w:basedOn w:val="813"/>
    <w:uiPriority w:val="34"/>
    <w:qFormat/>
    <w:pPr>
      <w:pBdr/>
      <w:spacing/>
      <w:ind w:left="720"/>
      <w:contextualSpacing w:val="true"/>
    </w:pPr>
  </w:style>
  <w:style w:type="character" w:styleId="990">
    <w:name w:val="Intense Emphasis"/>
    <w:basedOn w:val="8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1">
    <w:name w:val="Intense Quote"/>
    <w:basedOn w:val="813"/>
    <w:next w:val="813"/>
    <w:link w:val="9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2" w:customStyle="1">
    <w:name w:val="Intense Quote Char"/>
    <w:basedOn w:val="823"/>
    <w:link w:val="9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3">
    <w:name w:val="Intense Reference"/>
    <w:basedOn w:val="8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4">
    <w:name w:val="Header"/>
    <w:basedOn w:val="813"/>
    <w:link w:val="99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95" w:customStyle="1">
    <w:name w:val="Header Char"/>
    <w:basedOn w:val="823"/>
    <w:link w:val="994"/>
    <w:uiPriority w:val="99"/>
    <w:qFormat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paragraph" w:styleId="996">
    <w:name w:val="footnote text"/>
    <w:basedOn w:val="813"/>
    <w:link w:val="997"/>
    <w:uiPriority w:val="99"/>
    <w:semiHidden/>
    <w:unhideWhenUsed/>
    <w:pPr>
      <w:pBdr/>
      <w:spacing w:after="0" w:line="240" w:lineRule="auto"/>
      <w:ind/>
    </w:pPr>
    <w:rPr>
      <w:rFonts w:cs="Cambria"/>
    </w:rPr>
  </w:style>
  <w:style w:type="character" w:styleId="997" w:customStyle="1">
    <w:name w:val="Footnote Text Char"/>
    <w:basedOn w:val="823"/>
    <w:link w:val="996"/>
    <w:uiPriority w:val="99"/>
    <w:semiHidden/>
    <w:pPr>
      <w:pBdr/>
      <w:spacing/>
      <w:ind/>
    </w:pPr>
    <w:rPr>
      <w:rFonts w:ascii="Cambria" w:hAnsi="Cambria" w:eastAsia="Cambria" w:cs="Cambria"/>
      <w:sz w:val="20"/>
      <w:szCs w:val="20"/>
      <w14:ligatures w14:val="none"/>
    </w:rPr>
  </w:style>
  <w:style w:type="character" w:styleId="998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999">
    <w:name w:val="Footer"/>
    <w:basedOn w:val="813"/>
    <w:link w:val="10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00" w:customStyle="1">
    <w:name w:val="Footer Char"/>
    <w:basedOn w:val="823"/>
    <w:link w:val="999"/>
    <w:uiPriority w:val="99"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character" w:styleId="1001">
    <w:name w:val="Hyperlink"/>
    <w:basedOn w:val="82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02">
    <w:name w:val="Unresolved Mention"/>
    <w:basedOn w:val="82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3">
    <w:name w:val="annotation reference"/>
    <w:basedOn w:val="82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04">
    <w:name w:val="annotation text"/>
    <w:basedOn w:val="813"/>
    <w:link w:val="1005"/>
    <w:uiPriority w:val="99"/>
    <w:unhideWhenUsed/>
    <w:pPr>
      <w:pBdr/>
      <w:spacing w:line="240" w:lineRule="auto"/>
      <w:ind/>
    </w:pPr>
  </w:style>
  <w:style w:type="character" w:styleId="1005" w:customStyle="1">
    <w:name w:val="Comment Text Char"/>
    <w:basedOn w:val="823"/>
    <w:link w:val="1004"/>
    <w:uiPriority w:val="99"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paragraph" w:styleId="1006">
    <w:name w:val="annotation subject"/>
    <w:basedOn w:val="1004"/>
    <w:next w:val="1004"/>
    <w:link w:val="1007"/>
    <w:uiPriority w:val="99"/>
    <w:semiHidden/>
    <w:unhideWhenUsed/>
    <w:pPr>
      <w:pBdr/>
      <w:spacing/>
      <w:ind/>
    </w:pPr>
    <w:rPr>
      <w:b/>
      <w:bCs/>
    </w:rPr>
  </w:style>
  <w:style w:type="character" w:styleId="1007" w:customStyle="1">
    <w:name w:val="Comment Subject Char"/>
    <w:basedOn w:val="1005"/>
    <w:link w:val="1006"/>
    <w:uiPriority w:val="99"/>
    <w:semiHidden/>
    <w:pPr>
      <w:pBdr/>
      <w:spacing/>
      <w:ind/>
    </w:pPr>
    <w:rPr>
      <w:rFonts w:ascii="Cambria" w:hAnsi="Cambria" w:eastAsia="Cambria" w:cs="Times New Roman"/>
      <w:b/>
      <w:bCs/>
      <w:sz w:val="20"/>
      <w:szCs w:val="20"/>
      <w14:ligatures w14:val="none"/>
    </w:rPr>
  </w:style>
  <w:style w:type="paragraph" w:styleId="1008" w:customStyle="1">
    <w:name w:val="Figure"/>
    <w:basedOn w:val="813"/>
    <w:next w:val="813"/>
    <w:pPr>
      <w:keepNext w:val="true"/>
      <w:pBdr/>
      <w:spacing/>
      <w:ind/>
      <w:jc w:val="center"/>
    </w:pPr>
  </w:style>
  <w:style w:type="paragraph" w:styleId="1009" w:customStyle="1">
    <w:name w:val="Image Caption"/>
    <w:basedOn w:val="813"/>
    <w:next w:val="813"/>
    <w:pPr>
      <w:pBdr/>
      <w:spacing/>
      <w:ind/>
      <w:jc w:val="center"/>
    </w:pPr>
    <w:rPr>
      <w:iCs/>
    </w:rPr>
  </w:style>
  <w:style w:type="paragraph" w:styleId="1010" w:customStyle="1">
    <w:name w:val="Table Caption"/>
    <w:basedOn w:val="813"/>
    <w:next w:val="813"/>
    <w:pPr>
      <w:pBdr/>
      <w:spacing/>
      <w:ind/>
    </w:pPr>
    <w:rPr>
      <w:iCs/>
    </w:rPr>
  </w:style>
  <w:style w:type="paragraph" w:styleId="1011" w:customStyle="1">
    <w:name w:val="SummaryText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mailto:Danai.MANTOPOULOU-PALOUKA@ec.europa.eu" TargetMode="External"/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de Andrés</dc:creator>
  <cp:keywords/>
  <dc:description/>
  <cp:revision>11</cp:revision>
  <dcterms:created xsi:type="dcterms:W3CDTF">2026-02-26T07:38:00Z</dcterms:created>
  <dcterms:modified xsi:type="dcterms:W3CDTF">2026-07-31T10:49:57Z</dcterms:modified>
</cp:coreProperties>
</file>