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peopleDocument.xml" ContentType="application/vnd.openxmlformats-officedocument.wordprocessingml.people+xml"/>
  <Override PartName="/word/commentsIdsDocument.xml" ContentType="application/vnd.openxmlformats-officedocument.wordprocessingml.commentsIds+xml"/>
  <Override PartName="/word/commentsExtensibleDocument.xml" ContentType="application/vnd.openxmlformats-officedocument.wordprocessingml.commentsExtensible+xml"/>
  <Override PartName="/word/commentsDocument.xml" ContentType="application/vnd.openxmlformats-officedocument.wordprocessingml.comments+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commentsExtendedDocument.xml" ContentType="application/vnd.openxmlformats-officedocument.wordprocessingml.commentsExtended+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rFonts w:ascii="Cambria" w:hAnsi="Cambria" w:eastAsia="Times New Roman" w:cs="Times New Roman"/>
          <w:b/>
          <w:bCs/>
          <w:sz w:val="20"/>
          <w:szCs w:val="20"/>
        </w:rPr>
      </w:pPr>
      <w:r>
        <w:rPr>
          <w:rFonts w:ascii="Cambria" w:hAnsi="Cambria" w:eastAsia="Times New Roman" w:cs="Times New Roman"/>
          <w:b/>
          <w:bCs/>
          <w:sz w:val="20"/>
          <w:szCs w:val="20"/>
        </w:rPr>
        <w:t xml:space="preserve">REVIEW OF THE ASSESSMENT FOR ALL INITIATIVE (a4a) STATISTICAL CATCH-AT-AGE FRAMEWORK FOR THE ICCAT SOFTWARE CATALOGUE</w:t>
      </w:r>
      <w:r>
        <w:rPr>
          <w:rFonts w:ascii="Cambria" w:hAnsi="Cambria" w:eastAsia="Times New Roman" w:cs="Times New Roman"/>
          <w:b/>
          <w:bCs/>
          <w:sz w:val="20"/>
          <w:szCs w:val="20"/>
        </w:rPr>
      </w:r>
    </w:p>
    <w:p>
      <w:pPr>
        <w:pBdr/>
        <w:spacing w:after="0"/>
        <w:ind/>
        <w:jc w:val="center"/>
        <w:rPr>
          <w:rFonts w:ascii="Cambria" w:hAnsi="Cambria" w:cs="Times New Roman"/>
          <w:sz w:val="20"/>
          <w:szCs w:val="20"/>
        </w:rPr>
      </w:pPr>
      <w:r>
        <w:rPr>
          <w:rFonts w:ascii="Cambria" w:hAnsi="Cambria" w:cs="Times New Roman"/>
          <w:sz w:val="20"/>
          <w:szCs w:val="20"/>
        </w:rPr>
      </w:r>
      <w:r>
        <w:rPr>
          <w:rFonts w:ascii="Cambria" w:hAnsi="Cambria" w:cs="Times New Roman"/>
          <w:sz w:val="20"/>
          <w:szCs w:val="20"/>
        </w:rPr>
      </w:r>
    </w:p>
    <w:p>
      <w:pPr>
        <w:pBdr/>
        <w:spacing w:after="0"/>
        <w:ind/>
        <w:jc w:val="center"/>
        <w:rPr>
          <w:rFonts w:ascii="Cambria" w:hAnsi="Cambria" w:eastAsia="Times New Roman" w:cs="Times New Roman"/>
          <w:sz w:val="20"/>
          <w:szCs w:val="20"/>
          <w:lang w:val="pt-BR"/>
        </w:rPr>
      </w:pPr>
      <w:r>
        <w:rPr>
          <w:rFonts w:ascii="Cambria" w:hAnsi="Cambria" w:eastAsia="Times New Roman" w:cs="Times New Roman"/>
          <w:sz w:val="20"/>
          <w:szCs w:val="20"/>
          <w:lang w:val="pt-BR"/>
        </w:rPr>
        <w:t xml:space="preserve">E. Jardim</w:t>
      </w:r>
      <w:r>
        <w:rPr>
          <w:rStyle w:val="930"/>
          <w:rFonts w:ascii="Cambria" w:hAnsi="Cambria" w:eastAsia="Times New Roman" w:cs="Times New Roman"/>
          <w:sz w:val="20"/>
          <w:szCs w:val="20"/>
          <w:lang w:val="pt-BR"/>
        </w:rPr>
        <w:footnoteReference w:id="2"/>
      </w:r>
      <w:r>
        <w:rPr>
          <w:rFonts w:ascii="Cambria" w:hAnsi="Cambria" w:eastAsia="Times New Roman" w:cs="Times New Roman"/>
          <w:sz w:val="20"/>
          <w:szCs w:val="20"/>
          <w:lang w:val="pt-BR"/>
        </w:rPr>
        <w:t xml:space="preserve">, D. Mantopoulou Palouka</w:t>
      </w:r>
      <w:r>
        <w:rPr>
          <w:rStyle w:val="930"/>
          <w:rFonts w:ascii="Cambria" w:hAnsi="Cambria" w:eastAsia="Times New Roman" w:cs="Times New Roman"/>
          <w:sz w:val="20"/>
          <w:szCs w:val="20"/>
          <w:lang w:val="pt-BR"/>
        </w:rPr>
        <w:footnoteReference w:id="3"/>
      </w:r>
      <w:r>
        <w:rPr>
          <w:rFonts w:ascii="Cambria" w:hAnsi="Cambria" w:eastAsia="Times New Roman" w:cs="Times New Roman"/>
          <w:sz w:val="20"/>
          <w:szCs w:val="20"/>
          <w:lang w:val="pt-BR"/>
        </w:rPr>
        <w:t xml:space="preserve">, G. Tserpes</w:t>
      </w:r>
      <w:r>
        <w:rPr>
          <w:rStyle w:val="930"/>
          <w:rFonts w:ascii="Cambria" w:hAnsi="Cambria" w:eastAsia="Times New Roman" w:cs="Times New Roman"/>
          <w:sz w:val="20"/>
          <w:szCs w:val="20"/>
          <w:lang w:val="pt-BR"/>
        </w:rPr>
        <w:footnoteReference w:id="4"/>
      </w:r>
      <w:r>
        <w:rPr>
          <w:rFonts w:ascii="Cambria" w:hAnsi="Cambria" w:eastAsia="Times New Roman" w:cs="Times New Roman"/>
          <w:sz w:val="20"/>
          <w:szCs w:val="20"/>
          <w:lang w:val="pt-BR"/>
        </w:rPr>
        <w:t xml:space="preserve">, and A. Kimoto</w:t>
      </w:r>
      <w:r>
        <w:rPr>
          <w:rStyle w:val="930"/>
          <w:rFonts w:ascii="Cambria" w:hAnsi="Cambria" w:eastAsia="Times New Roman" w:cs="Times New Roman"/>
          <w:sz w:val="20"/>
          <w:szCs w:val="20"/>
          <w:lang w:val="pt-BR"/>
        </w:rPr>
        <w:footnoteReference w:id="5"/>
      </w:r>
      <w:r>
        <w:rPr>
          <w:rFonts w:ascii="Cambria" w:hAnsi="Cambria" w:eastAsia="Times New Roman" w:cs="Times New Roman"/>
          <w:sz w:val="20"/>
          <w:szCs w:val="20"/>
          <w:lang w:val="pt-BR"/>
        </w:rPr>
      </w:r>
    </w:p>
    <w:p>
      <w:pPr>
        <w:pBdr/>
        <w:spacing w:after="0"/>
        <w:ind/>
        <w:jc w:val="center"/>
        <w:rPr>
          <w:rFonts w:ascii="Cambria" w:hAnsi="Cambria" w:cs="Times New Roman"/>
          <w:sz w:val="20"/>
          <w:szCs w:val="20"/>
          <w:lang w:val="pt-BR"/>
        </w:rPr>
      </w:pPr>
      <w:r>
        <w:rPr>
          <w:rFonts w:ascii="Cambria" w:hAnsi="Cambria" w:cs="Times New Roman"/>
          <w:sz w:val="20"/>
          <w:szCs w:val="20"/>
          <w:lang w:val="pt-BR"/>
        </w:rPr>
      </w:r>
      <w:r>
        <w:rPr>
          <w:rFonts w:ascii="Cambria" w:hAnsi="Cambria" w:cs="Times New Roman"/>
          <w:sz w:val="20"/>
          <w:szCs w:val="20"/>
          <w:lang w:val="pt-BR"/>
        </w:rPr>
      </w:r>
    </w:p>
    <w:p>
      <w:pPr>
        <w:pBdr/>
        <w:spacing w:after="0"/>
        <w:ind/>
        <w:jc w:val="center"/>
        <w:rPr>
          <w:rFonts w:ascii="Cambria" w:hAnsi="Cambria" w:cs="Times New Roman"/>
          <w:sz w:val="20"/>
          <w:szCs w:val="20"/>
          <w:lang w:val="pt-BR"/>
        </w:rPr>
      </w:pPr>
      <w:r>
        <w:rPr>
          <w:rFonts w:ascii="Cambria" w:hAnsi="Cambria" w:cs="Times New Roman"/>
          <w:sz w:val="20"/>
          <w:szCs w:val="20"/>
          <w:lang w:val="pt-BR"/>
        </w:rPr>
      </w:r>
      <w:r>
        <w:rPr>
          <w:rFonts w:ascii="Cambria" w:hAnsi="Cambria" w:cs="Times New Roman"/>
          <w:sz w:val="20"/>
          <w:szCs w:val="20"/>
          <w:lang w:val="pt-BR"/>
        </w:rPr>
      </w:r>
    </w:p>
    <w:p>
      <w:pPr>
        <w:pBdr/>
        <w:spacing w:after="0"/>
        <w:ind/>
        <w:jc w:val="center"/>
        <w:rPr>
          <w:rFonts w:ascii="Cambria" w:hAnsi="Cambria" w:eastAsia="Times New Roman" w:cs="Times New Roman"/>
          <w:i/>
          <w:iCs/>
          <w:sz w:val="20"/>
          <w:szCs w:val="20"/>
        </w:rPr>
      </w:pPr>
      <w:r>
        <w:rPr>
          <w:rFonts w:ascii="Cambria" w:hAnsi="Cambria" w:eastAsia="Times New Roman" w:cs="Times New Roman"/>
          <w:i/>
          <w:iCs/>
          <w:sz w:val="20"/>
          <w:szCs w:val="20"/>
        </w:rPr>
        <w:t xml:space="preserve">SUMMARY</w:t>
      </w:r>
      <w:r>
        <w:rPr>
          <w:rFonts w:ascii="Cambria" w:hAnsi="Cambria" w:eastAsia="Times New Roman" w:cs="Times New Roman"/>
          <w:i/>
          <w:iCs/>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right="677" w:left="677"/>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Initiative (a4a) is a statistical catch-at-age (SCA) stock assessment framework originally developed by the European Commission Joint Research Centre (JRC) to simplify, standardize, and</w:t>
      </w:r>
      <w:r>
        <w:rPr>
          <w:rFonts w:ascii="Cambria" w:hAnsi="Cambria"/>
          <w:sz w:val="20"/>
          <w:szCs w:val="20"/>
        </w:rPr>
        <w:t xml:space="preserve"> </w:t>
      </w:r>
      <w:r>
        <w:rPr>
          <w:rFonts w:ascii="Cambria" w:hAnsi="Cambria" w:eastAsia="Times New Roman" w:cs="Times New Roman"/>
          <w:sz w:val="20"/>
          <w:szCs w:val="20"/>
        </w:rPr>
        <w:t xml:space="preserve">scale up fish stock assessment. The framework is built on the Fisheries Library for R (FLR) and uses</w:t>
      </w:r>
      <w:r>
        <w:rPr>
          <w:rFonts w:ascii="Cambria" w:hAnsi="Cambria"/>
          <w:sz w:val="20"/>
          <w:szCs w:val="20"/>
        </w:rPr>
        <w:t xml:space="preserve"> </w:t>
      </w:r>
      <w:r>
        <w:rPr>
          <w:rFonts w:ascii="Cambria" w:hAnsi="Cambria" w:eastAsia="Times New Roman" w:cs="Times New Roman"/>
          <w:sz w:val="20"/>
          <w:szCs w:val="20"/>
        </w:rPr>
        <w:t xml:space="preserve">an age-structured population dynamics model with a flexible, </w:t>
      </w:r>
      <w:r>
        <w:rPr>
          <w:rFonts w:ascii="Cambria" w:hAnsi="Cambria" w:eastAsia="Times New Roman" w:cs="Times New Roman"/>
          <w:sz w:val="20"/>
          <w:szCs w:val="20"/>
        </w:rPr>
        <w:t xml:space="preserve">submodel</w:t>
      </w:r>
      <w:r>
        <w:rPr>
          <w:rFonts w:ascii="Cambria" w:hAnsi="Cambria" w:eastAsia="Times New Roman" w:cs="Times New Roman"/>
          <w:sz w:val="20"/>
          <w:szCs w:val="20"/>
        </w:rPr>
        <w:t xml:space="preserve">-based formulation that allows the</w:t>
      </w:r>
      <w:r>
        <w:rPr>
          <w:rFonts w:ascii="Cambria" w:hAnsi="Cambria"/>
          <w:sz w:val="20"/>
          <w:szCs w:val="20"/>
        </w:rPr>
        <w:t xml:space="preserve"> </w:t>
      </w:r>
      <w:r>
        <w:rPr>
          <w:rFonts w:ascii="Cambria" w:hAnsi="Cambria" w:eastAsia="Times New Roman" w:cs="Times New Roman"/>
          <w:sz w:val="20"/>
          <w:szCs w:val="20"/>
        </w:rPr>
        <w:t xml:space="preserve">analyst to express fishing mortality, catchability, recruitment, variance, and initial population abundance</w:t>
      </w:r>
      <w:r>
        <w:rPr>
          <w:rFonts w:ascii="Cambria" w:hAnsi="Cambria"/>
          <w:sz w:val="20"/>
          <w:szCs w:val="20"/>
        </w:rPr>
        <w:t xml:space="preserve"> </w:t>
      </w:r>
      <w:r>
        <w:rPr>
          <w:rFonts w:ascii="Cambria" w:hAnsi="Cambria" w:eastAsia="Times New Roman" w:cs="Times New Roman"/>
          <w:sz w:val="20"/>
          <w:szCs w:val="20"/>
        </w:rPr>
        <w:t xml:space="preserve">as linear models using standard R formula syntax—including generalized additive models (GAMs) via the</w:t>
      </w:r>
      <w:r>
        <w:rPr>
          <w:rFonts w:ascii="Cambria" w:hAnsi="Cambria"/>
          <w:sz w:val="20"/>
          <w:szCs w:val="20"/>
        </w:rPr>
        <w:t xml:space="preserve"> </w:t>
      </w:r>
      <w:r>
        <w:rPr>
          <w:rFonts w:ascii="Cambria" w:hAnsi="Cambria" w:eastAsia="Times New Roman" w:cs="Times New Roman"/>
          <w:sz w:val="20"/>
          <w:szCs w:val="20"/>
        </w:rPr>
        <w:t xml:space="preserve">mgcv</w:t>
      </w:r>
      <w:r>
        <w:rPr>
          <w:rFonts w:ascii="Cambria" w:hAnsi="Cambria" w:eastAsia="Times New Roman" w:cs="Times New Roman"/>
          <w:sz w:val="20"/>
          <w:szCs w:val="20"/>
        </w:rPr>
        <w:t xml:space="preserve"> package. The model has been applied to more than 200 stock assessments in the Mediterranean Sea</w:t>
      </w:r>
      <w:r>
        <w:rPr>
          <w:rFonts w:ascii="Cambria" w:hAnsi="Cambria"/>
          <w:sz w:val="20"/>
          <w:szCs w:val="20"/>
        </w:rPr>
        <w:t xml:space="preserve"> </w:t>
      </w:r>
      <w:r>
        <w:rPr>
          <w:rFonts w:ascii="Cambria" w:hAnsi="Cambria" w:eastAsia="Times New Roman" w:cs="Times New Roman"/>
          <w:sz w:val="20"/>
          <w:szCs w:val="20"/>
        </w:rPr>
        <w:t xml:space="preserve">through the General Fisheries Commission for the Mediterranean (GFCM) and the Scientific, Technical and</w:t>
      </w:r>
      <w:r>
        <w:rPr>
          <w:rFonts w:ascii="Cambria" w:hAnsi="Cambria"/>
          <w:sz w:val="20"/>
          <w:szCs w:val="20"/>
        </w:rPr>
        <w:t xml:space="preserve"> </w:t>
      </w:r>
      <w:r>
        <w:rPr>
          <w:rFonts w:ascii="Cambria" w:hAnsi="Cambria" w:eastAsia="Times New Roman" w:cs="Times New Roman"/>
          <w:sz w:val="20"/>
          <w:szCs w:val="20"/>
        </w:rPr>
        <w:t xml:space="preserve">Economic Committee for Fisheries (STECF). It supports full uncertainty propagation through maximum</w:t>
      </w:r>
      <w:r>
        <w:rPr>
          <w:rFonts w:ascii="Cambria" w:hAnsi="Cambria"/>
          <w:sz w:val="20"/>
          <w:szCs w:val="20"/>
        </w:rPr>
        <w:t xml:space="preserve"> </w:t>
      </w:r>
      <w:r>
        <w:rPr>
          <w:rFonts w:ascii="Cambria" w:hAnsi="Cambria" w:eastAsia="Times New Roman" w:cs="Times New Roman"/>
          <w:sz w:val="20"/>
          <w:szCs w:val="20"/>
        </w:rPr>
        <w:t xml:space="preserve">likelihood estimation (MLE), MCMC, and simulation, as well as short-term projections and Management</w:t>
      </w:r>
      <w:r>
        <w:rPr>
          <w:rFonts w:ascii="Cambria" w:hAnsi="Cambria"/>
          <w:sz w:val="20"/>
          <w:szCs w:val="20"/>
        </w:rPr>
        <w:t xml:space="preserve"> </w:t>
      </w:r>
      <w:r>
        <w:rPr>
          <w:rFonts w:ascii="Cambria" w:hAnsi="Cambria" w:eastAsia="Times New Roman" w:cs="Times New Roman"/>
          <w:sz w:val="20"/>
          <w:szCs w:val="20"/>
        </w:rPr>
        <w:t xml:space="preserve">Strategy Evaluation (MSE) conditioning. The a4a R-package (FLa4a) and its comprehensive handbook are</w:t>
      </w:r>
      <w:r>
        <w:rPr>
          <w:rFonts w:ascii="Cambria" w:hAnsi="Cambria"/>
          <w:sz w:val="20"/>
          <w:szCs w:val="20"/>
        </w:rPr>
        <w:t xml:space="preserve"> </w:t>
      </w:r>
      <w:r>
        <w:rPr>
          <w:rFonts w:ascii="Cambria" w:hAnsi="Cambria" w:eastAsia="Times New Roman" w:cs="Times New Roman"/>
          <w:sz w:val="20"/>
          <w:szCs w:val="20"/>
        </w:rPr>
        <w:t xml:space="preserve">openly available via the FLR r-universe and GitHub repositories. The authors recommend ICCAT consider</w:t>
      </w:r>
      <w:r>
        <w:rPr>
          <w:rFonts w:ascii="Cambria" w:hAnsi="Cambria"/>
          <w:sz w:val="20"/>
          <w:szCs w:val="20"/>
        </w:rPr>
        <w:t xml:space="preserve"> </w:t>
      </w:r>
      <w:r>
        <w:rPr>
          <w:rFonts w:ascii="Cambria" w:hAnsi="Cambria" w:eastAsia="Times New Roman" w:cs="Times New Roman"/>
          <w:sz w:val="20"/>
          <w:szCs w:val="20"/>
        </w:rPr>
        <w:t xml:space="preserve">the registration of the a4a methodology in the ICCAT software catalogue.</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i/>
          <w:iCs/>
          <w:sz w:val="20"/>
          <w:szCs w:val="20"/>
        </w:rPr>
      </w:pPr>
      <w:r>
        <w:rPr>
          <w:rFonts w:ascii="Cambria" w:hAnsi="Cambria" w:eastAsia="Times New Roman" w:cs="Times New Roman"/>
          <w:i/>
          <w:iCs/>
          <w:sz w:val="20"/>
          <w:szCs w:val="20"/>
        </w:rPr>
        <w:t xml:space="preserve">KEYWORDS</w:t>
      </w:r>
      <w:r>
        <w:rPr>
          <w:rFonts w:ascii="Cambria" w:hAnsi="Cambria" w:eastAsia="Times New Roman" w:cs="Times New Roman"/>
          <w:i/>
          <w:iCs/>
          <w:sz w:val="20"/>
          <w:szCs w:val="20"/>
        </w:rPr>
      </w:r>
    </w:p>
    <w:p>
      <w:pPr>
        <w:pBdr/>
        <w:spacing w:after="0"/>
        <w:ind/>
        <w:jc w:val="center"/>
        <w:rPr>
          <w:rFonts w:ascii="Cambria" w:hAnsi="Cambria" w:eastAsia="Times New Roman" w:cs="Times New Roman"/>
          <w:bCs/>
          <w:i/>
          <w:sz w:val="20"/>
          <w:szCs w:val="20"/>
        </w:rPr>
      </w:pPr>
      <w:r>
        <w:rPr>
          <w:rFonts w:ascii="Cambria" w:hAnsi="Cambria" w:eastAsia="Times New Roman" w:cs="Times New Roman"/>
          <w:bCs/>
          <w:i/>
          <w:sz w:val="20"/>
          <w:szCs w:val="20"/>
        </w:rPr>
      </w:r>
      <w:r>
        <w:rPr>
          <w:rFonts w:ascii="Cambria" w:hAnsi="Cambria" w:eastAsia="Times New Roman" w:cs="Times New Roman"/>
          <w:bCs/>
          <w:i/>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t xml:space="preserve">ICCAT Software Catalogue, FLa4a, R-package, FLR, catch-at-age, stock assessment, MSE</w:t>
      </w:r>
      <w:r>
        <w:rPr>
          <w:rFonts w:ascii="Cambria" w:hAnsi="Cambria" w:eastAsia="Times New Roman" w:cs="Times New Roman"/>
          <w:sz w:val="20"/>
          <w:szCs w:val="20"/>
        </w:rPr>
      </w:r>
    </w:p>
    <w:p>
      <w:pPr>
        <w:pBdr/>
        <w:spacing w:after="0"/>
        <w:ind/>
        <w:rPr>
          <w:rFonts w:ascii="Cambria" w:hAnsi="Cambria" w:eastAsia="Times New Roman" w:cs="Times New Roman"/>
          <w:sz w:val="20"/>
          <w:szCs w:val="20"/>
        </w:rPr>
      </w:pPr>
      <w:r>
        <w:rPr>
          <w:rFonts w:ascii="Cambria" w:hAnsi="Cambria" w:eastAsia="Times New Roman" w:cs="Times New Roman"/>
          <w:sz w:val="20"/>
          <w:szCs w:val="20"/>
        </w:rPr>
        <w:br w:type="page" w:clear="all"/>
      </w:r>
      <w:r>
        <w:rPr>
          <w:rFonts w:ascii="Cambria" w:hAnsi="Cambria" w:eastAsia="Times New Roman" w:cs="Times New Roman"/>
          <w:sz w:val="20"/>
          <w:szCs w:val="20"/>
        </w:rPr>
      </w:r>
    </w:p>
    <w:p>
      <w:pPr>
        <w:pBdr/>
        <w:spacing w:after="0"/>
        <w:ind/>
        <w:rPr>
          <w:rFonts w:ascii="Cambria" w:hAnsi="Cambria" w:eastAsia="Times New Roman" w:cs="Times New Roman"/>
          <w:b/>
          <w:bCs/>
          <w:sz w:val="20"/>
          <w:szCs w:val="20"/>
        </w:rPr>
      </w:pPr>
      <w:r>
        <w:rPr>
          <w:rFonts w:ascii="Cambria" w:hAnsi="Cambria" w:eastAsia="Times New Roman" w:cs="Times New Roman"/>
          <w:b/>
          <w:bCs/>
          <w:sz w:val="20"/>
          <w:szCs w:val="20"/>
        </w:rPr>
        <w:t xml:space="preserve">Introduction</w:t>
      </w:r>
      <w:r>
        <w:rPr>
          <w:rFonts w:ascii="Cambria" w:hAnsi="Cambria" w:eastAsia="Times New Roman" w:cs="Times New Roman"/>
          <w:b/>
          <w:bCs/>
          <w:sz w:val="20"/>
          <w:szCs w:val="20"/>
        </w:rPr>
      </w:r>
    </w:p>
    <w:p>
      <w:pPr>
        <w:pBdr/>
        <w:spacing w:after="0"/>
        <w:ind/>
        <w:rPr>
          <w:rFonts w:ascii="Cambria" w:hAnsi="Cambria" w:eastAsia="Times New Roman" w:cs="Times New Roman"/>
          <w:b/>
          <w:sz w:val="20"/>
          <w:szCs w:val="20"/>
        </w:rPr>
      </w:pPr>
      <w:r>
        <w:rPr>
          <w:rFonts w:ascii="Cambria" w:hAnsi="Cambria" w:eastAsia="Times New Roman" w:cs="Times New Roman"/>
          <w:b/>
          <w:sz w:val="20"/>
          <w:szCs w:val="20"/>
        </w:rPr>
      </w:r>
      <w:r>
        <w:rPr>
          <w:rFonts w:ascii="Cambria" w:hAnsi="Cambria" w:eastAsia="Times New Roman" w:cs="Times New Roman"/>
          <w:b/>
          <w:sz w:val="20"/>
          <w:szCs w:val="20"/>
        </w:rPr>
      </w:r>
    </w:p>
    <w:p>
      <w:pPr>
        <w:pBdr/>
        <w:spacing w:after="0"/>
        <w:ind/>
        <w:jc w:val="both"/>
        <w:rPr>
          <w:rFonts w:ascii="Cambria" w:hAnsi="Cambria" w:eastAsia="Times New Roman" w:cs="Times New Roman"/>
          <w:sz w:val="20"/>
          <w:szCs w:val="20"/>
          <w:highlight w:val="yellow"/>
        </w:rPr>
      </w:pPr>
      <w:r>
        <w:rPr>
          <w:rFonts w:ascii="Cambria" w:hAnsi="Cambria" w:eastAsia="Times New Roman" w:cs="Times New Roman"/>
          <w:sz w:val="20"/>
          <w:szCs w:val="20"/>
        </w:rPr>
        <w:t xml:space="preserve">The Swordfish Species Group at the Swordfish Data Preparatory Meeting in 2026 (Anon., </w:t>
      </w:r>
      <w:r>
        <w:rPr>
          <w:rFonts w:ascii="Cambria" w:hAnsi="Cambria" w:eastAsia="Times New Roman" w:cs="Times New Roman"/>
          <w:sz w:val="20"/>
          <w:szCs w:val="20"/>
        </w:rPr>
        <w:t xml:space="preserve">2026)recommended</w:t>
      </w:r>
      <w:r>
        <w:rPr>
          <w:rFonts w:ascii="Cambria" w:hAnsi="Cambria" w:eastAsia="Times New Roman" w:cs="Times New Roman"/>
          <w:sz w:val="20"/>
          <w:szCs w:val="20"/>
        </w:rPr>
        <w:t xml:space="preserve"> that the a4a (Assessment for All) model (assessment for all initiative) will be considered for inclusion in the ICCAT software catalogue. Following this recommendation, this document provides a review of the a4a model for the ICCAT software catalogue.</w:t>
      </w:r>
      <w:r>
        <w:rPr>
          <w:rFonts w:ascii="Cambria" w:hAnsi="Cambria" w:eastAsia="Times New Roman" w:cs="Times New Roman"/>
          <w:sz w:val="20"/>
          <w:szCs w:val="20"/>
          <w:highlight w:val="yellow"/>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The a4a model</w:t>
      </w:r>
      <w:r>
        <w:rPr>
          <w:rFonts w:ascii="Cambria" w:hAnsi="Cambria" w:eastAsia="Times New Roman" w:cs="Times New Roman"/>
          <w:b/>
          <w:bCs/>
          <w:sz w:val="20"/>
          <w:szCs w:val="20"/>
        </w:rPr>
      </w:r>
    </w:p>
    <w:p>
      <w:pPr>
        <w:pBdr/>
        <w:spacing w:after="0"/>
        <w:ind/>
        <w:jc w:val="both"/>
        <w:rPr>
          <w:rFonts w:ascii="Cambria" w:hAnsi="Cambria" w:eastAsia="Times New Roman" w:cs="Times New Roman"/>
          <w:b/>
          <w:sz w:val="20"/>
          <w:szCs w:val="20"/>
        </w:rPr>
      </w:pPr>
      <w:r>
        <w:rPr>
          <w:rFonts w:ascii="Cambria" w:hAnsi="Cambria" w:eastAsia="Times New Roman" w:cs="Times New Roman"/>
          <w:b/>
          <w:sz w:val="20"/>
          <w:szCs w:val="20"/>
        </w:rPr>
      </w:r>
      <w:r>
        <w:rPr>
          <w:rFonts w:ascii="Cambria" w:hAnsi="Cambria" w:eastAsia="Times New Roman" w:cs="Times New Roman"/>
          <w:b/>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(a4a) framework is a statistical catch-at-age (SCA) stock assessment model integrated within the </w:t>
      </w:r>
      <w:hyperlink r:id="rId11" w:tooltip="https://flrproject.org/#page-top" w:anchor="page-top" w:history="1">
        <w:r>
          <w:rPr>
            <w:rStyle w:val="934"/>
            <w:rFonts w:ascii="Cambria" w:hAnsi="Cambria" w:eastAsia="Times New Roman" w:cs="Times New Roman"/>
            <w:sz w:val="20"/>
            <w:szCs w:val="20"/>
          </w:rPr>
          <w:t xml:space="preserve">Fisheries Library for R</w:t>
        </w:r>
      </w:hyperlink>
      <w:r>
        <w:rPr>
          <w:rFonts w:ascii="Cambria" w:hAnsi="Cambria" w:eastAsia="Times New Roman" w:cs="Times New Roman"/>
          <w:sz w:val="20"/>
          <w:szCs w:val="20"/>
        </w:rPr>
        <w:t xml:space="preserve"> (FLR).</w:t>
      </w:r>
      <w:r>
        <w:rPr>
          <w:rFonts w:ascii="Cambria" w:hAnsi="Cambria" w:eastAsia="Times New Roman" w:cs="Times New Roman"/>
          <w:sz w:val="20"/>
          <w:szCs w:val="20"/>
        </w:rPr>
      </w:r>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Initiative (a4a) model was launched by the European Commission Joint Research Centre (JRC) in 2012 with the primary goal of developing, testing, and distributing methods capable of assessing </w:t>
      </w:r>
      <w:r>
        <w:rPr>
          <w:rFonts w:ascii="Cambria" w:hAnsi="Cambria" w:eastAsia="Times New Roman" w:cs="Times New Roman"/>
          <w:sz w:val="20"/>
          <w:szCs w:val="20"/>
        </w:rPr>
        <w:t xml:space="preserve">a large number of</w:t>
      </w:r>
      <w:r>
        <w:rPr>
          <w:rFonts w:ascii="Cambria" w:hAnsi="Cambria" w:eastAsia="Times New Roman" w:cs="Times New Roman"/>
          <w:sz w:val="20"/>
          <w:szCs w:val="20"/>
        </w:rPr>
        <w:t xml:space="preserve"> stocks (for the circa. 250 stocks) within operational time frames (Millar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2013). The initiative arose from the recognitio</w:t>
      </w:r>
      <w:r>
        <w:rPr>
          <w:rFonts w:ascii="Cambria" w:hAnsi="Cambria" w:eastAsia="Times New Roman" w:cs="Times New Roman"/>
          <w:sz w:val="20"/>
          <w:szCs w:val="20"/>
        </w:rPr>
        <w:t xml:space="preserve">n that the implementation of the EU Data Collection Framework generates large volumes of data, including for stocks not regularly assessed, and that traditional stock assessment tools take too long to set up and run for such a broad data landscape (Jardim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2014).</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is built upon the </w:t>
      </w:r>
      <w:hyperlink r:id="rId12" w:tooltip="https://flrproject.org/#page-top" w:anchor="page-top" w:history="1">
        <w:r>
          <w:rPr>
            <w:rStyle w:val="934"/>
            <w:rFonts w:ascii="Cambria" w:hAnsi="Cambria" w:eastAsia="Times New Roman" w:cs="Times New Roman"/>
            <w:sz w:val="20"/>
            <w:szCs w:val="20"/>
          </w:rPr>
          <w:t xml:space="preserve">Fisheries Library for R</w:t>
        </w:r>
      </w:hyperlink>
      <w:r>
        <w:rPr>
          <w:rFonts w:ascii="Cambria" w:hAnsi="Cambria" w:eastAsia="Times New Roman" w:cs="Times New Roman"/>
          <w:sz w:val="20"/>
          <w:szCs w:val="20"/>
        </w:rPr>
        <w:t xml:space="preserve"> (FLR; Kell et al., 2007), a widely used open-source software framework. By integrating flexible statistical </w:t>
      </w:r>
      <w:r>
        <w:rPr>
          <w:rFonts w:ascii="Cambria" w:hAnsi="Cambria" w:eastAsia="Times New Roman" w:cs="Times New Roman"/>
          <w:sz w:val="20"/>
          <w:szCs w:val="20"/>
        </w:rPr>
        <w:t xml:space="preserve">submodels</w:t>
      </w:r>
      <w:r>
        <w:rPr>
          <w:rFonts w:ascii="Cambria" w:hAnsi="Cambria" w:eastAsia="Times New Roman" w:cs="Times New Roman"/>
          <w:sz w:val="20"/>
          <w:szCs w:val="20"/>
        </w:rPr>
        <w:t xml:space="preserve"> with the established FLR data structures, </w:t>
      </w:r>
      <w:hyperlink r:id="rId13" w:tooltip="https://flrproject.org/FLa4a/" w:history="1">
        <w:r>
          <w:rPr>
            <w:rStyle w:val="934"/>
            <w:rFonts w:ascii="Cambria" w:hAnsi="Cambria" w:eastAsia="Times New Roman" w:cs="Times New Roman"/>
            <w:sz w:val="20"/>
            <w:szCs w:val="20"/>
          </w:rPr>
          <w:t xml:space="preserve">FLa4a</w:t>
        </w:r>
      </w:hyperlink>
      <w:r>
        <w:rPr>
          <w:rFonts w:ascii="Cambria" w:hAnsi="Cambria" w:eastAsia="Times New Roman" w:cs="Times New Roman"/>
          <w:sz w:val="20"/>
          <w:szCs w:val="20"/>
        </w:rPr>
        <w:t xml:space="preserve"> enables scientists with varying sta</w:t>
      </w:r>
      <w:r>
        <w:rPr>
          <w:rFonts w:ascii="Cambria" w:hAnsi="Cambria" w:eastAsia="Times New Roman" w:cs="Times New Roman"/>
          <w:sz w:val="20"/>
          <w:szCs w:val="20"/>
        </w:rPr>
        <w:t xml:space="preserve">tistical backgrounds to rapidly construct, fit, and diagnose age-structured stock assessments. It also supports growth modelling, natural mortality modelling, stochastic length-to-age conversion, and projection under harvest control rules. This framework (</w:t>
      </w:r>
      <w:hyperlink r:id="rId14" w:tooltip="https://flrproject.org/FLa4a/" w:history="1">
        <w:r>
          <w:rPr>
            <w:rStyle w:val="934"/>
            <w:rFonts w:ascii="Cambria" w:hAnsi="Cambria" w:eastAsia="Times New Roman" w:cs="Times New Roman"/>
            <w:sz w:val="20"/>
            <w:szCs w:val="20"/>
          </w:rPr>
          <w:t xml:space="preserve">FLa4a</w:t>
        </w:r>
      </w:hyperlink>
      <w:r>
        <w:rPr>
          <w:rFonts w:ascii="Cambria" w:hAnsi="Cambria" w:eastAsia="Times New Roman" w:cs="Times New Roman"/>
          <w:sz w:val="20"/>
          <w:szCs w:val="20"/>
        </w:rPr>
        <w:t xml:space="preserve">)  is designed to handle varying levels of data complexity while maintaining</w:t>
      </w:r>
      <w:r>
        <w:rPr>
          <w:rFonts w:ascii="Cambria" w:hAnsi="Cambria"/>
          <w:sz w:val="20"/>
          <w:szCs w:val="20"/>
        </w:rPr>
        <w:t xml:space="preserve"> </w:t>
      </w:r>
      <w:r>
        <w:rPr>
          <w:rFonts w:ascii="Cambria" w:hAnsi="Cambria" w:eastAsia="Times New Roman" w:cs="Times New Roman"/>
          <w:sz w:val="20"/>
          <w:szCs w:val="20"/>
        </w:rPr>
        <w:t xml:space="preserve">a rapid operational </w:t>
      </w:r>
      <w:r>
        <w:rPr>
          <w:rFonts w:ascii="Cambria" w:hAnsi="Cambria" w:eastAsia="Times New Roman" w:cs="Times New Roman"/>
          <w:sz w:val="20"/>
          <w:szCs w:val="20"/>
        </w:rPr>
        <w:t xml:space="preserve">timeframe, and</w:t>
      </w:r>
      <w:r>
        <w:rPr>
          <w:rFonts w:ascii="Cambria" w:hAnsi="Cambria" w:eastAsia="Times New Roman" w:cs="Times New Roman"/>
          <w:sz w:val="20"/>
          <w:szCs w:val="20"/>
        </w:rPr>
        <w:t xml:space="preserve"> has been applied in both European and international contexts. </w:t>
      </w:r>
      <w:r>
        <w:rPr>
          <w:rFonts w:ascii="Cambria" w:hAnsi="Cambria" w:eastAsia="Times New Roman" w:cs="Times New Roman"/>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model is a </w:t>
      </w:r>
      <w:r>
        <w:rPr>
          <w:rFonts w:ascii="Cambria" w:hAnsi="Cambria" w:eastAsia="Times New Roman" w:cs="Times New Roman"/>
          <w:sz w:val="20"/>
          <w:szCs w:val="20"/>
        </w:rPr>
        <w:t xml:space="preserve">statistical catch at age model in which the population dynamics are that the numbers of fish in a cohort decline from year to year due to a combination of natural mortality and fishing mortality. There are existing similar age-based methods: </w:t>
      </w:r>
      <w:r>
        <w:rPr>
          <w:rFonts w:ascii="Cambria" w:hAnsi="Cambria" w:eastAsia="Times New Roman" w:cs="Times New Roman"/>
          <w:sz w:val="20"/>
          <w:szCs w:val="20"/>
        </w:rPr>
        <w:t xml:space="preserve">eXtended</w:t>
      </w:r>
      <w:r>
        <w:rPr>
          <w:rFonts w:ascii="Cambria" w:hAnsi="Cambria" w:eastAsia="Times New Roman" w:cs="Times New Roman"/>
          <w:sz w:val="20"/>
          <w:szCs w:val="20"/>
        </w:rPr>
        <w:t xml:space="preserve"> Survivors Analysis (XSA; Shepherd, 1999)</w:t>
      </w:r>
      <w:r>
        <w:rPr>
          <w:rFonts w:ascii="Cambria" w:hAnsi="Cambria" w:eastAsia="Times New Roman" w:cs="Times New Roman"/>
          <w:sz w:val="20"/>
          <w:szCs w:val="20"/>
        </w:rPr>
        <w:t xml:space="preserve">, Time Series Analysis (TSA; Gudmundson, 1994), and the State-space Assessment Model (SAM; Neilsen and Berg, 2014) and all are based on similar underlying assumptions regarding stock dynamics. The main differences between these methods and the a4a model ar</w:t>
      </w:r>
      <w:r>
        <w:rPr>
          <w:rFonts w:ascii="Cambria" w:hAnsi="Cambria" w:eastAsia="Times New Roman" w:cs="Times New Roman"/>
          <w:sz w:val="20"/>
          <w:szCs w:val="20"/>
        </w:rPr>
        <w:t xml:space="preserve">e in how they consider the data and how the fishery dynamics are modelled, and user-friendly statistical framework. The a4a model uses splines and random effects in estimating fishing mortality to provide a robust and efficient way to constrain the model. </w:t>
      </w:r>
      <w:r>
        <w:rPr>
          <w:rFonts w:ascii="Cambria" w:hAnsi="Cambria" w:eastAsia="Times New Roman" w:cs="Times New Roman"/>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Population Dynamics and Statistical a4a Framework</w:t>
      </w:r>
      <w:r>
        <w:rPr>
          <w:rFonts w:ascii="Cambria" w:hAnsi="Cambria" w:eastAsia="Times New Roman" w:cs="Times New Roman"/>
          <w:b/>
          <w:bCs/>
          <w:sz w:val="20"/>
          <w:szCs w:val="20"/>
        </w:rPr>
      </w:r>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rFonts w:ascii="Cambria" w:hAnsi="Cambria"/>
          <w:i/>
          <w:iCs/>
          <w:sz w:val="20"/>
          <w:szCs w:val="20"/>
        </w:rPr>
      </w:pPr>
      <w:r>
        <w:rPr>
          <w:rFonts w:ascii="Cambria" w:hAnsi="Cambria"/>
          <w:i/>
          <w:iCs/>
          <w:sz w:val="20"/>
          <w:szCs w:val="20"/>
        </w:rPr>
        <w:t xml:space="preserve">General </w:t>
      </w:r>
      <w:r>
        <w:rPr>
          <w:rFonts w:ascii="Cambria" w:hAnsi="Cambria" w:eastAsia="Times New Roman" w:cs="Times New Roman"/>
          <w:i/>
          <w:iCs/>
          <w:sz w:val="20"/>
          <w:szCs w:val="20"/>
        </w:rPr>
        <w:t xml:space="preserve">Structure</w:t>
      </w:r>
      <w:r>
        <w:rPr>
          <w:rFonts w:ascii="Cambria" w:hAnsi="Cambria"/>
          <w:i/>
          <w:iCs/>
          <w:sz w:val="20"/>
          <w:szCs w:val="20"/>
        </w:rPr>
      </w:r>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implements a statistical catch-at-age (SCA) model and </w:t>
      </w:r>
      <w:r>
        <w:rPr>
          <w:rFonts w:ascii="Cambria" w:hAnsi="Cambria"/>
          <w:sz w:val="20"/>
          <w:szCs w:val="20"/>
        </w:rPr>
        <w:t xml:space="preserve">utili</w:t>
      </w:r>
      <w:r>
        <w:rPr>
          <w:rFonts w:ascii="Cambria" w:hAnsi="Cambria"/>
          <w:sz w:val="20"/>
          <w:szCs w:val="20"/>
        </w:rPr>
        <w:t xml:space="preserve">zes catch-at-age data to derive estimates of historical population size and fishing mortality and, model parameters are estimated by working forward in time while analyses do not require the assumption that removals from the fishery are known without error</w:t>
      </w:r>
      <w:r>
        <w:rPr>
          <w:rFonts w:ascii="Cambria" w:hAnsi="Cambria" w:eastAsia="Times New Roman" w:cs="Times New Roman"/>
          <w:sz w:val="20"/>
          <w:szCs w:val="20"/>
        </w:rPr>
        <w:t xml:space="preserve">. It follows standard equations to track the number of individuals across ages and years:</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m:oMathPara>
        <m:oMathParaP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a+1,  y+1</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sty m:val="p"/>
            </m:rPr>
            <m:t>exp⁡</m:t>
          </m:r>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M</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oMath>
      </m:oMathPara>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where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oMath>
      <w:r>
        <w:rPr>
          <w:rFonts w:ascii="Cambria" w:hAnsi="Cambria" w:eastAsia="Times New Roman" w:cs="Times New Roman"/>
          <w:sz w:val="20"/>
          <w:szCs w:val="20"/>
        </w:rPr>
        <w:t xml:space="preserve"> is the number of individuals at age 𝑎 in year 𝑦, </w:t>
      </w:r>
      <w:r>
        <w:rPr>
          <w:rFonts w:ascii="Cambria" w:hAnsi="Cambria" w:eastAsia="Times New Roman" w:cs="Times New Roman"/>
          <w:i/>
          <w:iCs/>
          <w:sz w:val="20"/>
          <w:szCs w:val="20"/>
        </w:rPr>
        <w:t xml:space="preserve">F</w:t>
      </w:r>
      <w:r>
        <w:rPr>
          <w:rFonts w:ascii="Cambria" w:hAnsi="Cambria" w:eastAsia="Times New Roman" w:cs="Times New Roman"/>
          <w:sz w:val="20"/>
          <w:szCs w:val="20"/>
        </w:rPr>
        <w:t xml:space="preserve"> is fishing mortality, and </w:t>
      </w:r>
      <w:r>
        <w:rPr>
          <w:rFonts w:ascii="Cambria" w:hAnsi="Cambria" w:eastAsia="Times New Roman" w:cs="Times New Roman"/>
          <w:i/>
          <w:iCs/>
          <w:sz w:val="20"/>
          <w:szCs w:val="20"/>
        </w:rPr>
        <w:t xml:space="preserve">M</w:t>
      </w:r>
      <w:r>
        <w:rPr>
          <w:rFonts w:ascii="Cambria" w:hAnsi="Cambria" w:eastAsia="Times New Roman" w:cs="Times New Roman"/>
          <w:sz w:val="20"/>
          <w:szCs w:val="20"/>
        </w:rPr>
        <w:t xml:space="preserve"> is natural mortality. The model is fitted to two types of observations: catches </w:t>
      </w:r>
      <w:r>
        <w:rPr>
          <w:rFonts w:ascii="Cambria" w:hAnsi="Cambria" w:eastAsia="Times New Roman" w:cs="Times New Roman"/>
          <w:i/>
          <w:iCs/>
          <w:sz w:val="20"/>
          <w:szCs w:val="20"/>
        </w:rPr>
        <w:t xml:space="preserve">C</w:t>
      </w:r>
      <w:r>
        <w:rPr>
          <w:rFonts w:ascii="Cambria" w:hAnsi="Cambria" w:eastAsia="Times New Roman" w:cs="Times New Roman"/>
          <w:i/>
          <w:iCs/>
          <w:sz w:val="20"/>
          <w:szCs w:val="20"/>
          <w:vertAlign w:val="subscript"/>
        </w:rPr>
        <w:t xml:space="preserve">a,y</w:t>
      </w:r>
      <w:r>
        <w:rPr>
          <w:rFonts w:ascii="Cambria" w:hAnsi="Cambria" w:eastAsia="Times New Roman" w:cs="Times New Roman"/>
          <w:sz w:val="20"/>
          <w:szCs w:val="20"/>
        </w:rPr>
        <w:t xml:space="preserve"> and abundance indices </w:t>
      </w:r>
      <w:r>
        <w:rPr>
          <w:rFonts w:ascii="Cambria" w:hAnsi="Cambria" w:eastAsia="Times New Roman" w:cs="Times New Roman"/>
          <w:i/>
          <w:iCs/>
          <w:sz w:val="20"/>
          <w:szCs w:val="20"/>
        </w:rPr>
        <w:t xml:space="preserve">I</w:t>
      </w:r>
      <w:r>
        <w:rPr>
          <w:rFonts w:ascii="Cambria" w:hAnsi="Cambria" w:eastAsia="Times New Roman" w:cs="Times New Roman"/>
          <w:i/>
          <w:iCs/>
          <w:sz w:val="20"/>
          <w:szCs w:val="20"/>
          <w:vertAlign w:val="subscript"/>
        </w:rPr>
        <w:t xml:space="preserve">a,y</w:t>
      </w:r>
      <w:r>
        <w:rPr>
          <w:rFonts w:ascii="Cambria" w:hAnsi="Cambria" w:eastAsia="Times New Roman" w:cs="Times New Roman"/>
          <w:i/>
          <w:iCs/>
          <w:sz w:val="20"/>
          <w:szCs w:val="20"/>
          <w:vertAlign w:val="subscript"/>
        </w:rPr>
        <w:t xml:space="preserve">,s</w:t>
      </w:r>
      <w:r>
        <w:rPr>
          <w:rFonts w:ascii="Cambria" w:hAnsi="Cambria" w:eastAsia="Times New Roman" w:cs="Times New Roman"/>
          <w:i/>
          <w:iCs/>
          <w:sz w:val="20"/>
          <w:szCs w:val="20"/>
        </w:rPr>
        <w:t xml:space="preserve">,</w:t>
      </w:r>
      <w:r>
        <w:rPr>
          <w:rFonts w:ascii="Cambria" w:hAnsi="Cambria" w:eastAsia="Times New Roman" w:cs="Times New Roman"/>
          <w:sz w:val="20"/>
          <w:szCs w:val="20"/>
        </w:rPr>
        <w:t xml:space="preserve"> where s denotes the specific survey. Both observation types </w:t>
      </w:r>
      <w:r>
        <w:rPr>
          <w:rFonts w:ascii="Cambria" w:hAnsi="Cambria" w:eastAsia="Times New Roman" w:cs="Times New Roman"/>
          <w:sz w:val="20"/>
          <w:szCs w:val="20"/>
        </w:rPr>
        <w:t xml:space="preserve">are  assumed</w:t>
      </w:r>
      <w:r>
        <w:rPr>
          <w:rFonts w:ascii="Cambria" w:hAnsi="Cambria" w:eastAsia="Times New Roman" w:cs="Times New Roman"/>
          <w:sz w:val="20"/>
          <w:szCs w:val="20"/>
        </w:rPr>
        <w:t xml:space="preserve"> to be normally distributed about the model predictions, on the log scale:</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sz w:val="20"/>
          <w:szCs w:val="20"/>
          <w:highlight w:val="yellow"/>
        </w:rPr>
      </w:pPr>
      <w:r/>
      <m:oMathPara>
        <m:oMathParaP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logC</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~Normal(lo</m:t>
          </m:r>
          <m:sSub>
            <m:sSubPr>
              <m:ctrlPr>
                <w:rPr>
                  <w:rFonts w:ascii="Cambria Math" w:hAnsi="Cambria Math" w:eastAsia="Times New Roman" w:cs="Times New Roman"/>
                  <w:i/>
                  <w:sz w:val="20"/>
                  <w:szCs w:val="20"/>
                </w:rPr>
              </m:ctrlPr>
            </m:sSubPr>
            <m:e>
              <m:r>
                <w:rPr>
                  <w:rFonts w:ascii="Cambria Math" w:hAnsi="Cambria Math" w:eastAsia="Cambria Math" w:cs="Cambria Math"/>
                  <w:sz w:val="20"/>
                  <w:szCs w:val="20"/>
                </w:rPr>
                <m:rPr/>
                <m:t>g</m:t>
              </m:r>
              <m:acc>
                <m:accPr>
                  <m:ctrlPr>
                    <w:rPr>
                      <w:rFonts w:ascii="Cambria Math" w:hAnsi="Cambria Math" w:eastAsia="Times New Roman" w:cs="Times New Roman"/>
                      <w:i/>
                      <w:sz w:val="20"/>
                      <w:szCs w:val="20"/>
                    </w:rPr>
                  </m:ctrlPr>
                </m:accPr>
                <m:e>
                  <m:r>
                    <w:rPr>
                      <w:rFonts w:ascii="Cambria Math" w:hAnsi="Cambria Math" w:eastAsia="Times New Roman" w:cs="Times New Roman"/>
                      <w:sz w:val="20"/>
                      <w:szCs w:val="20"/>
                    </w:rPr>
                    <m:rPr/>
                    <m:t>C</m:t>
                  </m:r>
                </m:e>
              </m:acc>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m:t>
              </m:r>
            </m:sub>
            <m:sup>
              <m:r>
                <w:rPr>
                  <w:rFonts w:ascii="Cambria Math" w:hAnsi="Cambria Math" w:eastAsia="Times New Roman" w:cs="Times New Roman"/>
                  <w:sz w:val="20"/>
                  <w:szCs w:val="20"/>
                </w:rPr>
                <m:rPr/>
                <m:t>2</m:t>
              </m:r>
            </m:sup>
          </m:sSubSup>
          <m:r>
            <w:rPr>
              <w:rFonts w:ascii="Cambria Math" w:hAnsi="Cambria Math" w:eastAsia="Times New Roman" w:cs="Times New Roman"/>
              <w:sz w:val="20"/>
              <w:szCs w:val="20"/>
            </w:rPr>
            <m:rPr/>
            <m:t>)</m:t>
          </m:r>
        </m:oMath>
      </m:oMathPara>
      <w:r/>
      <w:r>
        <w:rPr>
          <w:rFonts w:ascii="Cambria" w:hAnsi="Cambria" w:eastAsia="Times New Roman" w:cs="Times New Roman"/>
          <w:sz w:val="20"/>
          <w:szCs w:val="20"/>
          <w:highlight w:val="yellow"/>
        </w:rPr>
      </w:r>
    </w:p>
    <w:p>
      <w:pPr>
        <w:pBdr/>
        <w:spacing w:after="0"/>
        <w:ind/>
        <w:jc w:val="both"/>
        <w:rPr>
          <w:rFonts w:ascii="Cambria" w:hAnsi="Cambria" w:eastAsia="Times New Roman" w:cs="Times New Roman"/>
          <w:sz w:val="20"/>
          <w:szCs w:val="20"/>
          <w:highlight w:val="yellow"/>
        </w:rPr>
      </w:pPr>
      <w:r/>
      <m:oMathPara>
        <m:oMathParaPr/>
        <m:oMath>
          <m:r>
            <w:rPr>
              <w:rFonts w:ascii="Cambria Math" w:hAnsi="Cambria Math" w:eastAsia="Cambria Math" w:cs="Cambria Math"/>
              <w:sz w:val="20"/>
              <w:szCs w:val="20"/>
            </w:rPr>
            <m:rPr/>
            <m:t>log</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I</m:t>
              </m:r>
            </m:e>
            <m:sub>
              <m:r>
                <w:rPr>
                  <w:rFonts w:ascii="Cambria Math" w:hAnsi="Cambria Math" w:eastAsia="Times New Roman" w:cs="Times New Roman"/>
                  <w:sz w:val="20"/>
                  <w:szCs w:val="20"/>
                </w:rPr>
                <m:rPr/>
                <m:t>a,y,s</m:t>
              </m:r>
            </m:sub>
          </m:sSub>
          <m:r>
            <w:rPr>
              <w:rFonts w:ascii="Cambria Math" w:hAnsi="Cambria Math" w:eastAsia="Times New Roman" w:cs="Times New Roman"/>
              <w:sz w:val="20"/>
              <w:szCs w:val="20"/>
            </w:rPr>
            <m:rPr/>
            <m:t>~Normal(</m:t>
          </m:r>
          <m:sSub>
            <m:sSubPr>
              <m:ctrlPr>
                <w:rPr>
                  <w:rFonts w:ascii="Cambria Math" w:hAnsi="Cambria Math" w:eastAsia="Times New Roman" w:cs="Times New Roman"/>
                  <w:i/>
                  <w:sz w:val="20"/>
                  <w:szCs w:val="20"/>
                </w:rPr>
              </m:ctrlPr>
            </m:sSubPr>
            <m:e>
              <m:r>
                <w:rPr>
                  <w:rFonts w:ascii="Cambria Math" w:hAnsi="Cambria Math" w:eastAsia="Cambria Math" w:cs="Cambria Math"/>
                  <w:sz w:val="20"/>
                  <w:szCs w:val="20"/>
                </w:rPr>
                <m:rPr/>
                <m:t>log</m:t>
              </m:r>
              <m:acc>
                <m:accPr>
                  <m:ctrlPr>
                    <w:rPr>
                      <w:rFonts w:ascii="Cambria Math" w:hAnsi="Cambria Math" w:eastAsia="Times New Roman" w:cs="Times New Roman"/>
                      <w:i/>
                      <w:sz w:val="20"/>
                      <w:szCs w:val="20"/>
                    </w:rPr>
                  </m:ctrlPr>
                </m:accPr>
                <m:e>
                  <m:r>
                    <w:rPr>
                      <w:rFonts w:ascii="Cambria Math" w:hAnsi="Cambria Math" w:eastAsia="Times New Roman" w:cs="Times New Roman"/>
                      <w:sz w:val="20"/>
                      <w:szCs w:val="20"/>
                    </w:rPr>
                    <m:rPr/>
                    <m:t>I</m:t>
                  </m:r>
                </m:e>
              </m:acc>
            </m:e>
            <m:sub>
              <m:r>
                <w:rPr>
                  <w:rFonts w:ascii="Cambria Math" w:hAnsi="Cambria Math" w:eastAsia="Times New Roman" w:cs="Times New Roman"/>
                  <w:sz w:val="20"/>
                  <w:szCs w:val="20"/>
                </w:rPr>
                <m:rPr/>
                <m:t>a,y,s</m:t>
              </m:r>
            </m:sub>
          </m:sSub>
          <m:r>
            <w:rPr>
              <w:rFonts w:ascii="Cambria Math" w:hAnsi="Cambria Math" w:eastAsia="Times New Roman" w:cs="Times New Roman"/>
              <w:sz w:val="20"/>
              <w:szCs w:val="20"/>
            </w:rPr>
            <m:rPr/>
            <m:t>,</m:t>
          </m:r>
          <m:sSubSup>
            <m:sSubSupPr>
              <m:alnScr m:val="off"/>
              <m:ctrlPr>
                <w:rPr>
                  <w:rFonts w:ascii="Cambria Math" w:hAnsi="Cambria Math" w:eastAsia="Times New Roman" w:cs="Times New Roman"/>
                  <w:i/>
                  <w:sz w:val="20"/>
                  <w:szCs w:val="20"/>
                </w:rPr>
              </m:ctrlPr>
            </m:sSubSupPr>
            <m:e>
              <m:r>
                <w:rPr>
                  <w:rFonts w:ascii="Cambria Math" w:hAnsi="Cambria Math" w:eastAsia="Cambria Math" w:cs="Cambria Math"/>
                  <w:sz w:val="20"/>
                  <w:szCs w:val="20"/>
                </w:rPr>
                <m:rPr/>
                <m:t>τ</m:t>
              </m:r>
            </m:e>
            <m:sub>
              <m:r>
                <w:rPr>
                  <w:rFonts w:ascii="Cambria Math" w:hAnsi="Cambria Math" w:eastAsia="Times New Roman" w:cs="Times New Roman"/>
                  <w:sz w:val="20"/>
                  <w:szCs w:val="20"/>
                </w:rPr>
                <m:rPr/>
                <m:t>a,y,s</m:t>
              </m:r>
            </m:sub>
            <m:sup>
              <m:r>
                <w:rPr>
                  <w:rFonts w:ascii="Cambria Math" w:hAnsi="Cambria Math" w:eastAsia="Times New Roman" w:cs="Times New Roman"/>
                  <w:sz w:val="20"/>
                  <w:szCs w:val="20"/>
                </w:rPr>
                <m:rPr/>
                <m:t>2</m:t>
              </m:r>
            </m:sup>
          </m:sSubSup>
          <m:r>
            <w:rPr>
              <w:rFonts w:ascii="Cambria Math" w:hAnsi="Cambria Math" w:eastAsia="Times New Roman" w:cs="Times New Roman"/>
              <w:sz w:val="20"/>
              <w:szCs w:val="20"/>
            </w:rPr>
            <m:rPr/>
            <m:t>)</m:t>
          </m:r>
        </m:oMath>
      </m:oMathPara>
      <w:r/>
      <w:r>
        <w:rPr>
          <w:rFonts w:ascii="Cambria" w:hAnsi="Cambria" w:eastAsia="Times New Roman" w:cs="Times New Roman"/>
          <w:sz w:val="20"/>
          <w:szCs w:val="20"/>
          <w:highlight w:val="yellow"/>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total log-likelihood (</w:t>
      </w:r>
      <w:r>
        <w:rPr>
          <w:rFonts w:ascii="Cambria" w:hAnsi="Cambria" w:eastAsia="Times New Roman" w:cs="Times New Roman"/>
          <w:i/>
          <w:iCs/>
          <w:sz w:val="20"/>
          <w:szCs w:val="20"/>
        </w:rPr>
        <w:t xml:space="preserve">l</w:t>
      </w:r>
      <w:r>
        <w:rPr>
          <w:rFonts w:ascii="Cambria" w:hAnsi="Cambria" w:eastAsia="Times New Roman" w:cs="Times New Roman"/>
          <w:sz w:val="20"/>
          <w:szCs w:val="20"/>
        </w:rPr>
        <w:t xml:space="preserve">) combines the catch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C</m:t>
            </m:r>
          </m:sub>
        </m:sSub>
      </m:oMath>
      <w:r>
        <w:rPr>
          <w:rFonts w:ascii="Cambria" w:hAnsi="Cambria" w:eastAsia="Times New Roman" w:cs="Times New Roman"/>
          <w:sz w:val="20"/>
          <w:szCs w:val="20"/>
        </w:rPr>
        <w:t xml:space="preserve">) and index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I</m:t>
            </m:r>
          </m:sub>
        </m:sSub>
      </m:oMath>
      <w:r>
        <w:rPr>
          <w:rFonts w:ascii="Cambria" w:hAnsi="Cambria" w:eastAsia="Times New Roman" w:cs="Times New Roman"/>
          <w:sz w:val="20"/>
          <w:szCs w:val="20"/>
        </w:rPr>
        <w:t xml:space="preserve">) components, and optionally a stock–recruitment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SR</m:t>
            </m:r>
          </m:sub>
        </m:sSub>
      </m:oMath>
      <w:r>
        <w:rPr>
          <w:rFonts w:ascii="Cambria" w:hAnsi="Cambria" w:eastAsia="Times New Roman" w:cs="Times New Roman"/>
          <w:sz w:val="20"/>
          <w:szCs w:val="20"/>
        </w:rPr>
        <w:t xml:space="preserve">) component:</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highlight w:val="yellow"/>
        </w:rPr>
      </w:pPr>
      <w:r/>
      <m:oMath>
        <m:r>
          <w:rPr>
            <w:rFonts w:ascii="Cambria Math" w:hAnsi="Cambria Math" w:eastAsia="Times New Roman" w:cs="Times New Roman"/>
            <w:sz w:val="20"/>
            <w:szCs w:val="20"/>
          </w:rPr>
          <m:rPr/>
          <m:t>l=</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C</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I</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SR</m:t>
            </m:r>
          </m:sub>
        </m:sSub>
      </m:oMath>
      <w:r>
        <w:rPr>
          <w:rFonts w:ascii="Cambria" w:hAnsi="Cambria" w:eastAsia="Times New Roman" w:cs="Times New Roman"/>
          <w:sz w:val="20"/>
          <w:szCs w:val="20"/>
        </w:rPr>
        <w:t xml:space="preserve"> </w:t>
      </w:r>
      <w:r>
        <w:rPr>
          <w:rFonts w:ascii="Cambria" w:hAnsi="Cambria" w:eastAsia="Times New Roman" w:cs="Times New Roman"/>
          <w:sz w:val="20"/>
          <w:szCs w:val="20"/>
          <w:highlight w:val="yellow"/>
        </w:rPr>
      </w:r>
    </w:p>
    <w:p>
      <w:pPr>
        <w:pBdr/>
        <w:spacing w:after="0" w:line="240" w:lineRule="auto"/>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i/>
          <w:iCs/>
          <w:sz w:val="20"/>
          <w:szCs w:val="20"/>
        </w:rPr>
      </w:pPr>
      <w:r>
        <w:rPr>
          <w:rFonts w:ascii="Cambria" w:hAnsi="Cambria" w:eastAsia="Times New Roman" w:cs="Times New Roman"/>
          <w:i/>
          <w:iCs/>
          <w:sz w:val="20"/>
          <w:szCs w:val="20"/>
        </w:rPr>
        <w:t xml:space="preserve">Submodel</w:t>
      </w:r>
      <w:r>
        <w:rPr>
          <w:rFonts w:ascii="Cambria" w:hAnsi="Cambria" w:eastAsia="Times New Roman" w:cs="Times New Roman"/>
          <w:i/>
          <w:iCs/>
          <w:sz w:val="20"/>
          <w:szCs w:val="20"/>
        </w:rPr>
        <w:t xml:space="preserve"> Structure</w:t>
      </w:r>
      <w:r>
        <w:rPr>
          <w:rFonts w:ascii="Cambria" w:hAnsi="Cambria" w:eastAsia="Times New Roman" w:cs="Times New Roman"/>
          <w:i/>
          <w:i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A defining feature of the a4a framework is its </w:t>
      </w:r>
      <w:r>
        <w:rPr>
          <w:rFonts w:ascii="Cambria" w:hAnsi="Cambria" w:eastAsia="Times New Roman" w:cs="Times New Roman"/>
          <w:sz w:val="20"/>
          <w:szCs w:val="20"/>
        </w:rPr>
        <w:t xml:space="preserve">submodel</w:t>
      </w:r>
      <w:r>
        <w:rPr>
          <w:rFonts w:ascii="Cambria" w:hAnsi="Cambria" w:eastAsia="Times New Roman" w:cs="Times New Roman"/>
          <w:sz w:val="20"/>
          <w:szCs w:val="20"/>
        </w:rPr>
        <w:t xml:space="preserve"> formulation, where each key quantity is specified through flexible R formulas, allowing fishing mortality, catchability, variance, initial population abundance, and recruitment to be parameterized as linear or additive models. Five </w:t>
      </w:r>
      <w:r>
        <w:rPr>
          <w:rFonts w:ascii="Cambria" w:hAnsi="Cambria" w:eastAsia="Times New Roman" w:cs="Times New Roman"/>
          <w:sz w:val="20"/>
          <w:szCs w:val="20"/>
        </w:rPr>
        <w:t xml:space="preserve">submodels</w:t>
      </w:r>
      <w:r>
        <w:rPr>
          <w:rFonts w:ascii="Cambria" w:hAnsi="Cambria" w:eastAsia="Times New Roman" w:cs="Times New Roman"/>
          <w:sz w:val="20"/>
          <w:szCs w:val="20"/>
        </w:rPr>
        <w:t xml:space="preserve"> are in operation:</w:t>
      </w:r>
      <w:r>
        <w:rPr>
          <w:rFonts w:ascii="Cambria" w:hAnsi="Cambria" w:eastAsia="Times New Roman" w:cs="Times New Roman"/>
          <w:sz w:val="20"/>
          <w:szCs w:val="20"/>
        </w:rPr>
      </w:r>
    </w:p>
    <w:p>
      <w:pPr>
        <w:pStyle w:val="948"/>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Fishing mortality (`</w:t>
      </w:r>
      <w:r>
        <w:rPr>
          <w:rFonts w:ascii="Cambria" w:hAnsi="Cambria" w:eastAsia="Times New Roman" w:cs="Times New Roman"/>
          <w:sz w:val="20"/>
          <w:szCs w:val="20"/>
        </w:rPr>
        <w:t xml:space="preserve">fmodel</w:t>
      </w:r>
      <w:r>
        <w:rPr>
          <w:rFonts w:ascii="Cambria" w:hAnsi="Cambria" w:eastAsia="Times New Roman" w:cs="Times New Roman"/>
          <w:sz w:val="20"/>
          <w:szCs w:val="20"/>
        </w:rPr>
        <w:t xml:space="preserve">`): model for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oMath>
      <w:r/>
      <w:r>
        <w:rPr>
          <w:rFonts w:ascii="Cambria" w:hAnsi="Cambria"/>
          <w:sz w:val="20"/>
          <w:szCs w:val="20"/>
        </w:rPr>
      </w:r>
    </w:p>
    <w:p>
      <w:pPr>
        <w:pStyle w:val="948"/>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Catchability (`</w:t>
      </w:r>
      <w:r>
        <w:rPr>
          <w:rFonts w:ascii="Cambria" w:hAnsi="Cambria" w:eastAsia="Times New Roman" w:cs="Times New Roman"/>
          <w:sz w:val="20"/>
          <w:szCs w:val="20"/>
        </w:rPr>
        <w:t xml:space="preserve">qmodel</w:t>
      </w:r>
      <w:r>
        <w:rPr>
          <w:rFonts w:ascii="Cambria" w:hAnsi="Cambria" w:eastAsia="Times New Roman" w:cs="Times New Roman"/>
          <w:sz w:val="20"/>
          <w:szCs w:val="20"/>
        </w:rPr>
        <w:t xml:space="preserve">`): model for abundance index catchability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Q</m:t>
            </m:r>
          </m:e>
          <m:sub>
            <m:r>
              <w:rPr>
                <w:rFonts w:ascii="Cambria Math" w:hAnsi="Cambria Math" w:eastAsia="Times New Roman" w:cs="Times New Roman"/>
                <w:sz w:val="20"/>
                <w:szCs w:val="20"/>
              </w:rPr>
              <m:rPr/>
              <m:t>a,y,s</m:t>
            </m:r>
          </m:sub>
        </m:sSub>
      </m:oMath>
      <w:r/>
      <w:r>
        <w:rPr>
          <w:rFonts w:ascii="Cambria" w:hAnsi="Cambria"/>
          <w:sz w:val="20"/>
          <w:szCs w:val="20"/>
        </w:rPr>
      </w:r>
    </w:p>
    <w:p>
      <w:pPr>
        <w:pStyle w:val="948"/>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Recruitment (`</w:t>
      </w:r>
      <w:r>
        <w:rPr>
          <w:rFonts w:ascii="Cambria" w:hAnsi="Cambria" w:eastAsia="Times New Roman" w:cs="Times New Roman"/>
          <w:sz w:val="20"/>
          <w:szCs w:val="20"/>
        </w:rPr>
        <w:t xml:space="preserve">srmodel</w:t>
      </w:r>
      <w:r>
        <w:rPr>
          <w:rFonts w:ascii="Cambria" w:hAnsi="Cambria" w:eastAsia="Times New Roman" w:cs="Times New Roman"/>
          <w:sz w:val="20"/>
          <w:szCs w:val="20"/>
        </w:rPr>
        <w:t xml:space="preserve">`): stock–recruitment relationship (Ricker, </w:t>
      </w:r>
      <w:r>
        <w:rPr>
          <w:rFonts w:ascii="Cambria" w:hAnsi="Cambria" w:eastAsia="Times New Roman" w:cs="Times New Roman"/>
          <w:sz w:val="20"/>
          <w:szCs w:val="20"/>
        </w:rPr>
        <w:t xml:space="preserve">Beverton</w:t>
      </w:r>
      <w:r>
        <w:rPr>
          <w:rFonts w:ascii="Cambria" w:hAnsi="Cambria" w:eastAsia="Times New Roman" w:cs="Times New Roman"/>
          <w:sz w:val="20"/>
          <w:szCs w:val="20"/>
        </w:rPr>
        <w:t xml:space="preserve">-Holt, smooth hockey-stick, or geometric mean)</w:t>
      </w:r>
      <w:r>
        <w:rPr>
          <w:rFonts w:ascii="Cambria" w:hAnsi="Cambria"/>
          <w:sz w:val="20"/>
          <w:szCs w:val="20"/>
        </w:rPr>
      </w:r>
    </w:p>
    <w:p>
      <w:pPr>
        <w:pStyle w:val="948"/>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Observation variance (`</w:t>
      </w:r>
      <w:r>
        <w:rPr>
          <w:rFonts w:ascii="Cambria" w:hAnsi="Cambria" w:eastAsia="Times New Roman" w:cs="Times New Roman"/>
          <w:sz w:val="20"/>
          <w:szCs w:val="20"/>
        </w:rPr>
        <w:t xml:space="preserve">vmodel</w:t>
      </w:r>
      <w:r>
        <w:rPr>
          <w:rFonts w:ascii="Cambria" w:hAnsi="Cambria" w:eastAsia="Times New Roman" w:cs="Times New Roman"/>
          <w:sz w:val="20"/>
          <w:szCs w:val="20"/>
        </w:rPr>
        <w:t xml:space="preserve">`): models for </w:t>
      </w:r>
      <m:oMath>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m:t>
            </m:r>
          </m:sub>
          <m:sup>
            <m:r>
              <w:rPr>
                <w:rFonts w:ascii="Cambria Math" w:hAnsi="Cambria Math" w:eastAsia="Times New Roman" w:cs="Times New Roman"/>
                <w:sz w:val="20"/>
                <w:szCs w:val="20"/>
              </w:rPr>
              <m:rPr/>
              <m:t>2</m:t>
            </m:r>
          </m:sup>
        </m:sSubSup>
      </m:oMath>
      <w:r>
        <w:rPr>
          <w:rFonts w:ascii="Cambria" w:hAnsi="Cambria" w:eastAsia="Times New Roman" w:cs="Times New Roman"/>
          <w:sz w:val="20"/>
          <w:szCs w:val="20"/>
        </w:rPr>
        <w:t xml:space="preserve"> and </w:t>
      </w:r>
      <m:oMath>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a,y,s</m:t>
            </m:r>
          </m:sub>
          <m:sup>
            <m:r>
              <w:rPr>
                <w:rFonts w:ascii="Cambria Math" w:hAnsi="Cambria Math" w:eastAsia="Times New Roman" w:cs="Times New Roman"/>
                <w:sz w:val="20"/>
                <w:szCs w:val="20"/>
              </w:rPr>
              <m:rPr/>
              <m:t>2</m:t>
            </m:r>
          </m:sup>
        </m:sSubSup>
      </m:oMath>
      <w:r/>
      <w:r>
        <w:rPr>
          <w:rFonts w:ascii="Cambria" w:hAnsi="Cambria"/>
          <w:sz w:val="20"/>
          <w:szCs w:val="20"/>
        </w:rPr>
      </w:r>
    </w:p>
    <w:p>
      <w:pPr>
        <w:pStyle w:val="948"/>
        <w:numPr>
          <w:ilvl w:val="0"/>
          <w:numId w:val="1"/>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Initial population (`n1model`): model for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=1</m:t>
        </m:r>
      </m:oMath>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Using this approach, log-transformed quantities are parameterized as linear combinations of age and year covariates, including spline smoothers from the `</w:t>
      </w:r>
      <w:r>
        <w:rPr>
          <w:rFonts w:ascii="Cambria" w:hAnsi="Cambria" w:eastAsia="Times New Roman" w:cs="Times New Roman"/>
          <w:sz w:val="20"/>
          <w:szCs w:val="20"/>
        </w:rPr>
        <w:t xml:space="preserve">mgcv</w:t>
      </w:r>
      <w:r>
        <w:rPr>
          <w:rFonts w:ascii="Cambria" w:hAnsi="Cambria" w:eastAsia="Times New Roman" w:cs="Times New Roman"/>
          <w:sz w:val="20"/>
          <w:szCs w:val="20"/>
        </w:rPr>
        <w:t xml:space="preserve">` package. For example, fishing mortality on the log scale is expressed as: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rPr>
      </w:pPr>
      <w:r/>
      <m:oMathPara>
        <m:oMathParaPr/>
        <m:oMath>
          <m:r>
            <w:rPr>
              <w:rFonts w:ascii="Cambria Math" w:hAnsi="Cambria Math" w:eastAsia="Times New Roman" w:cs="Times New Roman"/>
              <w:sz w:val="20"/>
              <w:szCs w:val="20"/>
            </w:rPr>
            <m:rPr/>
            <m:t>log</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nary>
            <m:naryPr>
              <m:chr m:val="∑"/>
              <m:grow m:val="off"/>
              <m:limLoc m:val="undOvr"/>
              <m:supHide m:val="on"/>
              <m:ctrlPr>
                <w:rPr>
                  <w:rFonts w:ascii="Cambria Math" w:hAnsi="Cambria Math" w:eastAsia="Times New Roman" w:cs="Times New Roman"/>
                  <w:i/>
                  <w:sz w:val="20"/>
                  <w:szCs w:val="20"/>
                </w:rPr>
              </m:ctrlPr>
            </m:naryPr>
            <m:sub>
              <m:r>
                <w:rPr>
                  <w:rFonts w:ascii="Cambria Math" w:hAnsi="Cambria Math" w:eastAsia="Times New Roman" w:cs="Times New Roman"/>
                  <w:sz w:val="20"/>
                  <w:szCs w:val="20"/>
                </w:rPr>
                <m:rPr/>
                <m:t>k</m:t>
              </m:r>
            </m:sub>
            <m:sup/>
            <m:e>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β</m:t>
                  </m:r>
                </m:e>
                <m:sub>
                  <m:r>
                    <w:rPr>
                      <w:rFonts w:ascii="Cambria Math" w:hAnsi="Cambria Math" w:eastAsia="Times New Roman" w:cs="Times New Roman"/>
                      <w:sz w:val="20"/>
                      <w:szCs w:val="20"/>
                    </w:rPr>
                    <m:rPr/>
                    <m:t>k</m:t>
                  </m:r>
                </m:sub>
              </m:sSub>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x</m:t>
                  </m:r>
                </m:e>
                <m:sub>
                  <m:r>
                    <w:rPr>
                      <w:rFonts w:ascii="Cambria Math" w:hAnsi="Cambria Math" w:eastAsia="Times New Roman" w:cs="Times New Roman"/>
                      <w:sz w:val="20"/>
                      <w:szCs w:val="20"/>
                    </w:rPr>
                    <m:rPr/>
                    <m:t>a,y,k</m:t>
                  </m:r>
                </m:sub>
              </m:sSub>
            </m:e>
          </m:nary>
        </m:oMath>
      </m:oMathPara>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This reduces the parameter space while allowing structured and interpretable models.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i/>
          <w:iCs/>
          <w:sz w:val="20"/>
          <w:szCs w:val="20"/>
        </w:rPr>
      </w:pPr>
      <w:r>
        <w:rPr>
          <w:rFonts w:ascii="Cambria" w:hAnsi="Cambria" w:eastAsia="Times New Roman" w:cs="Times New Roman"/>
          <w:i/>
          <w:iCs/>
          <w:sz w:val="20"/>
          <w:szCs w:val="20"/>
        </w:rPr>
        <w:t xml:space="preserve">Multi-Stage Modelling Approach</w:t>
      </w:r>
      <w:r>
        <w:rPr>
          <w:rFonts w:ascii="Cambria" w:hAnsi="Cambria" w:eastAsia="Times New Roman" w:cs="Times New Roman"/>
          <w:i/>
          <w:i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adopts a multi-stage modelling approach. Prior to fitting the stock assessment model, individual growth (via the `a4aGr` class and von </w:t>
      </w:r>
      <w:r>
        <w:rPr>
          <w:rFonts w:ascii="Cambria" w:hAnsi="Cambria" w:eastAsia="Times New Roman" w:cs="Times New Roman"/>
          <w:sz w:val="20"/>
          <w:szCs w:val="20"/>
        </w:rPr>
        <w:t xml:space="preserve">Bertalanffy</w:t>
      </w:r>
      <w:r>
        <w:rPr>
          <w:rFonts w:ascii="Cambria" w:hAnsi="Cambria" w:eastAsia="Times New Roman" w:cs="Times New Roman"/>
          <w:sz w:val="20"/>
          <w:szCs w:val="20"/>
        </w:rPr>
        <w:t xml:space="preserve"> or other models), natural mortality (via the `a4aM` class), and length-to-age conversion (via the `l2a` method using stochastic slicing) are handled independently. This reduces parameter confounding, decreases computational demands, and prov</w:t>
      </w:r>
      <w:r>
        <w:rPr>
          <w:rFonts w:ascii="Cambria" w:hAnsi="Cambria" w:eastAsia="Times New Roman" w:cs="Times New Roman"/>
          <w:sz w:val="20"/>
          <w:szCs w:val="20"/>
        </w:rPr>
        <w:t xml:space="preserve">ides an intuitive pathway to propagate biological uncertainty into the overall stock assessment. Uncertainty in growth and natural mortality parameters is incorporated using multivariate normal distributions, triangle distributions, or statistical copulas.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Software Developments</w:t>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International Council for the Exploration of the Sea (</w:t>
      </w:r>
      <w:hyperlink r:id="rId15" w:tooltip="https://www.ices.dk/PANDORA/Pages/Assessment.aspx" w:history="1">
        <w:r>
          <w:rPr>
            <w:rStyle w:val="934"/>
            <w:rFonts w:ascii="Cambria" w:hAnsi="Cambria" w:eastAsia="Times New Roman" w:cs="Times New Roman"/>
            <w:sz w:val="20"/>
            <w:szCs w:val="20"/>
          </w:rPr>
          <w:t xml:space="preserve">ICES</w:t>
        </w:r>
      </w:hyperlink>
      <w:r>
        <w:rPr>
          <w:rFonts w:ascii="Cambria" w:hAnsi="Cambria" w:eastAsia="Times New Roman" w:cs="Times New Roman"/>
          <w:sz w:val="20"/>
          <w:szCs w:val="20"/>
        </w:rPr>
        <w:t xml:space="preserve">), JRC, and the broader FLR community have organized manuals, software, and training resources around a4a.</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FLa4a R-Package has been developed by Millar, Jardim, Mosqueira, and collaborators. This package is the primary software component for inclusion in the ICCAT software catalogue.</w:t>
      </w:r>
      <w:r>
        <w:rPr>
          <w:rFonts w:ascii="Cambria" w:hAnsi="Cambria" w:eastAsia="Times New Roman" w:cs="Times New Roman"/>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Style w:val="948"/>
        <w:numPr>
          <w:ilvl w:val="0"/>
          <w:numId w:val="4"/>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GitHub: https://github.com/flr/FLa4a  </w:t>
      </w:r>
      <w:r>
        <w:rPr>
          <w:rFonts w:ascii="Cambria" w:hAnsi="Cambria"/>
          <w:sz w:val="20"/>
          <w:szCs w:val="20"/>
        </w:rPr>
      </w:r>
    </w:p>
    <w:p>
      <w:pPr>
        <w:pStyle w:val="948"/>
        <w:numPr>
          <w:ilvl w:val="0"/>
          <w:numId w:val="4"/>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Documentation:</w:t>
      </w:r>
      <w:r>
        <w:rPr>
          <w:rFonts w:ascii="Cambria" w:hAnsi="Cambria" w:eastAsia="Times New Roman" w:cs="Times New Roman"/>
          <w:sz w:val="20"/>
          <w:szCs w:val="20"/>
        </w:rPr>
        <w:t xml:space="preserve"> https://flrproject.org/FLa4a/ </w:t>
      </w:r>
      <w:r>
        <w:rPr>
          <w:rFonts w:ascii="Cambria" w:hAnsi="Cambria"/>
          <w:sz w:val="20"/>
          <w:szCs w:val="20"/>
        </w:rPr>
      </w:r>
    </w:p>
    <w:p>
      <w:pPr>
        <w:pStyle w:val="948"/>
        <w:numPr>
          <w:ilvl w:val="0"/>
          <w:numId w:val="4"/>
        </w:numPr>
        <w:pBdr/>
        <w:spacing w:after="0" w:line="240" w:lineRule="auto"/>
        <w:ind/>
        <w:jc w:val="both"/>
        <w:rPr>
          <w:rFonts w:ascii="Cambria" w:hAnsi="Cambria"/>
          <w:sz w:val="20"/>
          <w:szCs w:val="20"/>
          <w:lang w:val="pt-BR"/>
        </w:rPr>
      </w:pPr>
      <w:r>
        <w:rPr>
          <w:rFonts w:ascii="Cambria" w:hAnsi="Cambria" w:eastAsia="Times New Roman" w:cs="Times New Roman"/>
          <w:sz w:val="20"/>
          <w:szCs w:val="20"/>
          <w:lang w:val="pt-BR"/>
        </w:rPr>
        <w:t xml:space="preserve">FLR r-universe: https://flr.r-universe.dev/FLa4a</w:t>
      </w:r>
      <w:r>
        <w:rPr>
          <w:rFonts w:ascii="Cambria" w:hAnsi="Cambria"/>
          <w:sz w:val="20"/>
          <w:szCs w:val="20"/>
          <w:lang w:val="pt-BR"/>
        </w:rPr>
      </w:r>
    </w:p>
    <w:p>
      <w:pPr>
        <w:pStyle w:val="948"/>
        <w:numPr>
          <w:ilvl w:val="0"/>
          <w:numId w:val="4"/>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CRAN/FLR install: `</w:t>
      </w:r>
      <w:r>
        <w:rPr>
          <w:rFonts w:ascii="Cambria" w:hAnsi="Cambria" w:eastAsia="Times New Roman" w:cs="Times New Roman"/>
          <w:sz w:val="20"/>
          <w:szCs w:val="20"/>
        </w:rPr>
        <w:t xml:space="preserve">install.packages</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c(</w:t>
      </w:r>
      <w:r>
        <w:rPr>
          <w:rFonts w:ascii="Cambria" w:hAnsi="Cambria" w:eastAsia="Times New Roman" w:cs="Times New Roman"/>
          <w:sz w:val="20"/>
          <w:szCs w:val="20"/>
        </w:rPr>
        <w:t xml:space="preserve">"FLCore","FLa4a","FLBRP","FLasher", "a4adiags","ggplotFL"), repos=</w:t>
      </w:r>
      <w:r>
        <w:rPr>
          <w:rFonts w:ascii="Cambria" w:hAnsi="Cambria" w:eastAsia="Times New Roman" w:cs="Times New Roman"/>
          <w:sz w:val="20"/>
          <w:szCs w:val="20"/>
        </w:rPr>
        <w:t xml:space="preserve">c(</w:t>
      </w:r>
      <w:r>
        <w:rPr>
          <w:rFonts w:ascii="Cambria" w:hAnsi="Cambria" w:eastAsia="Times New Roman" w:cs="Times New Roman"/>
          <w:sz w:val="20"/>
          <w:szCs w:val="20"/>
        </w:rPr>
        <w:t xml:space="preserve">FLR="https://flr.r-universe.dev", CRAN="</w:t>
      </w:r>
      <w:r>
        <w:rPr>
          <w:rFonts w:ascii="Cambria" w:hAnsi="Cambria" w:eastAsia="Times New Roman" w:cs="Times New Roman"/>
          <w:sz w:val="20"/>
          <w:szCs w:val="20"/>
        </w:rPr>
        <w:t xml:space="preserve">https://cloud.r-project.org"))`</w:t>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t xml:space="preserve">The a4a model has been validated through simulation testing design, by </w:t>
      </w:r>
      <w:r>
        <w:rPr>
          <w:rFonts w:ascii="Cambria" w:hAnsi="Cambria"/>
          <w:sz w:val="20"/>
          <w:szCs w:val="20"/>
        </w:rPr>
        <w:t xml:space="preserve">developing stocks based on ICES Workshop on the Development of Quantitative Assessment Methodologies based on Life-history traits, exploitation characteristics, and other relevant parameters for data-limited stocks (WKLIFE) life history parameters (Millar </w:t>
      </w:r>
      <w:r>
        <w:rPr>
          <w:rFonts w:ascii="Cambria" w:hAnsi="Cambria"/>
          <w:i/>
          <w:iCs/>
          <w:sz w:val="20"/>
          <w:szCs w:val="20"/>
        </w:rPr>
        <w:t xml:space="preserve">et al</w:t>
      </w:r>
      <w:r>
        <w:rPr>
          <w:rFonts w:ascii="Cambria" w:hAnsi="Cambria"/>
          <w:sz w:val="20"/>
          <w:szCs w:val="20"/>
        </w:rPr>
        <w:t xml:space="preserve">., 2013).</w:t>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A companion Diagnostic R-package, </w:t>
      </w:r>
      <w:hyperlink r:id="rId16" w:tooltip="https://github.com/flr/a4adiags" w:history="1">
        <w:r>
          <w:rPr>
            <w:rStyle w:val="934"/>
            <w:rFonts w:ascii="Cambria" w:hAnsi="Cambria" w:eastAsia="Times New Roman" w:cs="Times New Roman"/>
            <w:sz w:val="20"/>
            <w:szCs w:val="20"/>
          </w:rPr>
          <w:t xml:space="preserve">a4adiags</w:t>
        </w:r>
      </w:hyperlink>
      <w:r>
        <w:rPr>
          <w:rFonts w:ascii="Cambria" w:hAnsi="Cambria" w:eastAsia="Times New Roman" w:cs="Times New Roman"/>
          <w:sz w:val="20"/>
          <w:szCs w:val="20"/>
        </w:rPr>
        <w:t xml:space="preserve">, has also been developed by Mosqueira and Winker, to provide extended diagnostics including hindcast evaluation (MASE), following the recommendations of Carvalho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(2021) and Kell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(2016).</w:t>
      </w:r>
      <w:r>
        <w:rPr>
          <w:rFonts w:ascii="Cambria" w:hAnsi="Cambria"/>
          <w:sz w:val="20"/>
          <w:szCs w:val="20"/>
        </w:rPr>
      </w:r>
    </w:p>
    <w:p>
      <w:pPr>
        <w:pStyle w:val="948"/>
        <w:numPr>
          <w:ilvl w:val="0"/>
          <w:numId w:val="6"/>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GitHub: </w:t>
      </w:r>
      <w:hyperlink r:id="rId17" w:tooltip="https://github.com/flr/a4adiags" w:history="1">
        <w:r>
          <w:rPr>
            <w:rStyle w:val="934"/>
            <w:rFonts w:ascii="Cambria" w:hAnsi="Cambria" w:eastAsia="Times New Roman" w:cs="Times New Roman"/>
            <w:sz w:val="20"/>
            <w:szCs w:val="20"/>
          </w:rPr>
          <w:t xml:space="preserve">https://github.com/flr/a4adiags</w:t>
        </w:r>
      </w:hyperlink>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Application </w:t>
      </w:r>
      <w:r>
        <w:rPr>
          <w:rFonts w:ascii="Cambria" w:hAnsi="Cambria" w:eastAsia="Times New Roman" w:cs="Times New Roman"/>
          <w:b/>
          <w:bCs/>
          <w:sz w:val="20"/>
          <w:szCs w:val="20"/>
        </w:rPr>
        <w:t xml:space="preserve">to</w:t>
      </w:r>
      <w:r>
        <w:rPr>
          <w:rFonts w:ascii="Cambria" w:hAnsi="Cambria" w:eastAsia="Times New Roman" w:cs="Times New Roman"/>
          <w:b/>
          <w:bCs/>
          <w:sz w:val="20"/>
          <w:szCs w:val="20"/>
        </w:rPr>
        <w:t xml:space="preserve"> </w:t>
      </w:r>
      <w:r>
        <w:rPr>
          <w:rFonts w:ascii="Cambria" w:hAnsi="Cambria" w:eastAsia="Times New Roman" w:cs="Times New Roman"/>
          <w:b/>
          <w:bCs/>
          <w:sz w:val="20"/>
          <w:szCs w:val="20"/>
        </w:rPr>
        <w:t xml:space="preserve">Fisheries Stocks</w:t>
      </w:r>
      <w:r>
        <w:rPr>
          <w:rFonts w:ascii="Cambria" w:hAnsi="Cambria" w:eastAsia="Times New Roman" w:cs="Times New Roman"/>
          <w:b/>
          <w:b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The a4a framework has been widely applied in European and international contexts:</w:t>
      </w:r>
      <w:r>
        <w:rPr>
          <w:rFonts w:ascii="Cambria" w:hAnsi="Cambria"/>
          <w:sz w:val="20"/>
          <w:szCs w:val="20"/>
        </w:rPr>
      </w:r>
    </w:p>
    <w:p>
      <w:pPr>
        <w:pStyle w:val="948"/>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Mediterranean Sea: More than 200 stock assessments as of 2024, conducted through the GFCM and STECF assessment working groups.</w:t>
      </w:r>
      <w:r>
        <w:rPr>
          <w:rFonts w:ascii="Cambria" w:hAnsi="Cambria"/>
          <w:sz w:val="20"/>
          <w:szCs w:val="20"/>
        </w:rPr>
      </w:r>
    </w:p>
    <w:p>
      <w:pPr>
        <w:pStyle w:val="948"/>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ICES stocks: Used in the Strategic Initiative on Stock Assessment Methods (2013 World Conference on Stock Assessment Methods) and evaluated comparatively against other SCA methods (Cadrin, 2025).</w:t>
      </w:r>
      <w:r>
        <w:rPr>
          <w:rFonts w:ascii="Cambria" w:hAnsi="Cambria"/>
          <w:sz w:val="20"/>
          <w:szCs w:val="20"/>
        </w:rPr>
      </w:r>
    </w:p>
    <w:p>
      <w:pPr>
        <w:pStyle w:val="948"/>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Case studies documented in the a4a handbook: North Sea plaice (</w:t>
      </w:r>
      <w:r>
        <w:rPr>
          <w:rFonts w:ascii="Cambria" w:hAnsi="Cambria" w:eastAsia="Times New Roman" w:cs="Times New Roman"/>
          <w:i/>
          <w:iCs/>
          <w:sz w:val="20"/>
          <w:szCs w:val="20"/>
        </w:rPr>
        <w:t xml:space="preserve">Pleuronectes platessa</w:t>
      </w:r>
      <w:r>
        <w:rPr>
          <w:rFonts w:ascii="Cambria" w:hAnsi="Cambria" w:eastAsia="Times New Roman" w:cs="Times New Roman"/>
          <w:sz w:val="20"/>
          <w:szCs w:val="20"/>
        </w:rPr>
        <w:t xml:space="preserve">, ICES area IV), European hake (</w:t>
      </w:r>
      <w:r>
        <w:rPr>
          <w:rFonts w:ascii="Cambria" w:hAnsi="Cambria" w:eastAsia="Times New Roman" w:cs="Times New Roman"/>
          <w:i/>
          <w:iCs/>
          <w:sz w:val="20"/>
          <w:szCs w:val="20"/>
        </w:rPr>
        <w:t xml:space="preserve">Merluccius </w:t>
      </w:r>
      <w:r>
        <w:rPr>
          <w:rFonts w:ascii="Cambria" w:hAnsi="Cambria" w:eastAsia="Times New Roman" w:cs="Times New Roman"/>
          <w:i/>
          <w:iCs/>
          <w:sz w:val="20"/>
          <w:szCs w:val="20"/>
        </w:rPr>
        <w:t xml:space="preserve">merluccius</w:t>
      </w:r>
      <w:r>
        <w:rPr>
          <w:rFonts w:ascii="Cambria" w:hAnsi="Cambria" w:eastAsia="Times New Roman" w:cs="Times New Roman"/>
          <w:sz w:val="20"/>
          <w:szCs w:val="20"/>
        </w:rPr>
        <w:t xml:space="preserve">, GFCM GSAs 1, 5, 6, 7), red mullet (</w:t>
      </w:r>
      <w:r>
        <w:rPr>
          <w:rFonts w:ascii="Cambria" w:hAnsi="Cambria" w:eastAsia="Times New Roman" w:cs="Times New Roman"/>
          <w:i/>
          <w:iCs/>
          <w:sz w:val="20"/>
          <w:szCs w:val="20"/>
        </w:rPr>
        <w:t xml:space="preserve">Mullus</w:t>
      </w:r>
      <w:r>
        <w:rPr>
          <w:rFonts w:ascii="Cambria" w:hAnsi="Cambria" w:eastAsia="Times New Roman" w:cs="Times New Roman"/>
          <w:i/>
          <w:iCs/>
          <w:sz w:val="20"/>
          <w:szCs w:val="20"/>
        </w:rPr>
        <w:t xml:space="preserve"> barbatus</w:t>
      </w:r>
      <w:r>
        <w:rPr>
          <w:rFonts w:ascii="Cambria" w:hAnsi="Cambria" w:eastAsia="Times New Roman" w:cs="Times New Roman"/>
          <w:sz w:val="20"/>
          <w:szCs w:val="20"/>
        </w:rPr>
        <w:t xml:space="preserve">, GFCM GSAs 1 and 9), and North Sea herring (</w:t>
      </w:r>
      <w:r>
        <w:rPr>
          <w:rFonts w:ascii="Cambria" w:hAnsi="Cambria" w:eastAsia="Times New Roman" w:cs="Times New Roman"/>
          <w:i/>
          <w:iCs/>
          <w:sz w:val="20"/>
          <w:szCs w:val="20"/>
        </w:rPr>
        <w:t xml:space="preserve">Clupea </w:t>
      </w:r>
      <w:r>
        <w:rPr>
          <w:rFonts w:ascii="Cambria" w:hAnsi="Cambria" w:eastAsia="Times New Roman" w:cs="Times New Roman"/>
          <w:i/>
          <w:iCs/>
          <w:sz w:val="20"/>
          <w:szCs w:val="20"/>
        </w:rPr>
        <w:t xml:space="preserve">harengus</w:t>
      </w:r>
      <w:r>
        <w:rPr>
          <w:rFonts w:ascii="Cambria" w:hAnsi="Cambria" w:eastAsia="Times New Roman" w:cs="Times New Roman"/>
          <w:sz w:val="20"/>
          <w:szCs w:val="20"/>
        </w:rPr>
        <w:t xml:space="preserve">)</w:t>
      </w:r>
      <w:r>
        <w:rPr>
          <w:rFonts w:ascii="Cambria" w:hAnsi="Cambria"/>
          <w:sz w:val="20"/>
          <w:szCs w:val="20"/>
        </w:rPr>
      </w:r>
    </w:p>
    <w:p>
      <w:pPr>
        <w:pStyle w:val="948"/>
        <w:numPr>
          <w:ilvl w:val="0"/>
          <w:numId w:val="3"/>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ICCAT context: The a4a framework has been applied to Mediterranean Swordfish assessment in 2020 (</w:t>
      </w:r>
      <w:r>
        <w:rPr>
          <w:rFonts w:ascii="Cambria" w:hAnsi="Cambria" w:eastAsia="Times New Roman" w:cs="Times New Roman"/>
          <w:sz w:val="20"/>
          <w:szCs w:val="20"/>
        </w:rPr>
        <w:t xml:space="preserve">Mantopoulou-Palouka</w:t>
      </w:r>
      <w:r>
        <w:rPr>
          <w:rFonts w:ascii="Cambria" w:hAnsi="Cambria" w:eastAsia="Times New Roman" w:cs="Times New Roman"/>
          <w:sz w:val="20"/>
          <w:szCs w:val="20"/>
        </w:rPr>
        <w:t xml:space="preserve"> et al., 2020).</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Main Advantages of a4a</w:t>
      </w:r>
      <w:r>
        <w:rPr>
          <w:rFonts w:ascii="Cambria" w:hAnsi="Cambria" w:eastAsia="Times New Roman" w:cs="Times New Roman"/>
          <w:b/>
          <w:b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The main advantages of the a4a framework for application to ICCAT stocks are:</w:t>
      </w:r>
      <w:r>
        <w:rPr>
          <w:rFonts w:ascii="Cambria" w:hAnsi="Cambria"/>
          <w:sz w:val="20"/>
          <w:szCs w:val="20"/>
        </w:rPr>
      </w:r>
    </w:p>
    <w:p>
      <w:pPr>
        <w:pStyle w:val="948"/>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Flexibility through formula-based </w:t>
      </w:r>
      <w:r>
        <w:rPr>
          <w:rFonts w:ascii="Cambria" w:hAnsi="Cambria" w:eastAsia="Times New Roman" w:cs="Times New Roman"/>
          <w:sz w:val="20"/>
          <w:szCs w:val="20"/>
        </w:rPr>
        <w:t xml:space="preserve">submodels</w:t>
      </w:r>
      <w:r>
        <w:rPr>
          <w:rFonts w:ascii="Cambria" w:hAnsi="Cambria" w:eastAsia="Times New Roman" w:cs="Times New Roman"/>
          <w:sz w:val="20"/>
          <w:szCs w:val="20"/>
        </w:rPr>
        <w:t xml:space="preserve">: all key quantities are specified using standard R formula syntax (including GAMs), enabling a wide range of model structures without requiring hard-coded options.</w:t>
      </w:r>
      <w:r>
        <w:rPr>
          <w:rFonts w:ascii="Cambria" w:hAnsi="Cambria"/>
          <w:sz w:val="20"/>
          <w:szCs w:val="20"/>
        </w:rPr>
      </w:r>
    </w:p>
    <w:p>
      <w:pPr>
        <w:pStyle w:val="948"/>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Uncertainty quantification: parameter uncertainty is fully propagated via MLE with variance-covariance inversion, MCMC (via ADMB), and simulation methods.</w:t>
      </w:r>
      <w:r>
        <w:rPr>
          <w:rFonts w:ascii="Cambria" w:hAnsi="Cambria"/>
          <w:sz w:val="20"/>
          <w:szCs w:val="20"/>
        </w:rPr>
      </w:r>
    </w:p>
    <w:p>
      <w:pPr>
        <w:pStyle w:val="948"/>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MSE and forecasting ready: the framework includes projection tools, harvest control rules (HCR), and a dedicated MP fitting mode optimized for use in Management Strategy Evaluations.</w:t>
      </w:r>
      <w:r>
        <w:rPr>
          <w:rFonts w:ascii="Cambria" w:hAnsi="Cambria"/>
          <w:sz w:val="20"/>
          <w:szCs w:val="20"/>
        </w:rPr>
      </w:r>
    </w:p>
    <w:p>
      <w:pPr>
        <w:pStyle w:val="948"/>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Comprehensive diagnostics: residuals (standardized, Pearson, raw deviances), retrospective analysis (Mohn's rho), hindcast (MASE score), predictive skill plots, and aggregated catch diagnostics are all implemented.</w:t>
      </w:r>
      <w:r>
        <w:rPr>
          <w:rFonts w:ascii="Cambria" w:hAnsi="Cambria"/>
          <w:sz w:val="20"/>
          <w:szCs w:val="20"/>
        </w:rPr>
      </w:r>
    </w:p>
    <w:p>
      <w:pPr>
        <w:pStyle w:val="948"/>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Scalability: a4a was designed to assess large numbers of stocks rapidly, an important feature for ICCAT given the diversity of migratory species under its mandate.</w:t>
      </w:r>
      <w:r>
        <w:rPr>
          <w:rFonts w:ascii="Cambria" w:hAnsi="Cambria"/>
          <w:sz w:val="20"/>
          <w:szCs w:val="20"/>
        </w:rPr>
      </w:r>
    </w:p>
    <w:p>
      <w:pPr>
        <w:pStyle w:val="948"/>
        <w:numPr>
          <w:ilvl w:val="0"/>
          <w:numId w:val="2"/>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Integration with FLR: full interoperability with the established FLR ecosystem, including `</w:t>
      </w:r>
      <w:r>
        <w:rPr>
          <w:rFonts w:ascii="Cambria" w:hAnsi="Cambria" w:eastAsia="Times New Roman" w:cs="Times New Roman"/>
          <w:sz w:val="20"/>
          <w:szCs w:val="20"/>
        </w:rPr>
        <w:t xml:space="preserve">FLCore</w:t>
      </w:r>
      <w:r>
        <w:rPr>
          <w:rFonts w:ascii="Cambria" w:hAnsi="Cambria" w:eastAsia="Times New Roman" w:cs="Times New Roman"/>
          <w:sz w:val="20"/>
          <w:szCs w:val="20"/>
        </w:rPr>
        <w:t xml:space="preserve">`, `FLBRP`, `</w:t>
      </w:r>
      <w:r>
        <w:rPr>
          <w:rFonts w:ascii="Cambria" w:hAnsi="Cambria" w:eastAsia="Times New Roman" w:cs="Times New Roman"/>
          <w:sz w:val="20"/>
          <w:szCs w:val="20"/>
        </w:rPr>
        <w:t xml:space="preserve">FLasher</w:t>
      </w:r>
      <w:r>
        <w:rPr>
          <w:rFonts w:ascii="Cambria" w:hAnsi="Cambria" w:eastAsia="Times New Roman" w:cs="Times New Roman"/>
          <w:sz w:val="20"/>
          <w:szCs w:val="20"/>
        </w:rPr>
        <w:t xml:space="preserve">`, and `a4adiags`.</w:t>
      </w:r>
      <w:r>
        <w:rPr>
          <w:rFonts w:ascii="Cambria" w:hAnsi="Cambria" w:eastAsia="Times New Roman" w:cs="Times New Roman"/>
          <w:sz w:val="20"/>
          <w:szCs w:val="20"/>
        </w:rPr>
      </w:r>
    </w:p>
    <w:p>
      <w:pPr>
        <w:pBdr/>
        <w:spacing w:after="0" w:line="240" w:lineRule="auto"/>
        <w:ind w:left="720"/>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offers a flexible, well-documented, and widely applied age-structured stock assessment methodology with full uncertainty propagation and MSE compatibility. Its formula-based </w:t>
      </w:r>
      <w:r>
        <w:rPr>
          <w:rFonts w:ascii="Cambria" w:hAnsi="Cambria" w:eastAsia="Times New Roman" w:cs="Times New Roman"/>
          <w:sz w:val="20"/>
          <w:szCs w:val="20"/>
        </w:rPr>
        <w:t xml:space="preserve">submodel</w:t>
      </w:r>
      <w:r>
        <w:rPr>
          <w:rFonts w:ascii="Cambria" w:hAnsi="Cambria" w:eastAsia="Times New Roman" w:cs="Times New Roman"/>
          <w:sz w:val="20"/>
          <w:szCs w:val="20"/>
        </w:rPr>
        <w:t xml:space="preserve"> structure </w:t>
      </w:r>
      <w:r>
        <w:rPr>
          <w:rFonts w:ascii="Cambria" w:hAnsi="Cambria" w:eastAsia="Times New Roman" w:cs="Times New Roman"/>
          <w:sz w:val="20"/>
          <w:szCs w:val="20"/>
        </w:rPr>
        <w:t xml:space="preserve">distinguishes it from other SCA approaches by providing unparalleled flexibi</w:t>
      </w:r>
      <w:r>
        <w:rPr>
          <w:rFonts w:ascii="Cambria" w:hAnsi="Cambria" w:eastAsia="Times New Roman" w:cs="Times New Roman"/>
          <w:sz w:val="20"/>
          <w:szCs w:val="20"/>
        </w:rPr>
        <w:t xml:space="preserve">lity without sacrificing interpretability, making it suitable for the diverse range of species and data situations encountered in ICCAT. The authors recommend ICCAT consider the registration of the a4a methodology (`FLa4a`) in the ICCAT software catalogue.</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b/>
          <w:bCs/>
          <w:sz w:val="20"/>
          <w:szCs w:val="20"/>
        </w:rPr>
      </w:pPr>
      <w:r>
        <w:rPr>
          <w:rFonts w:ascii="Cambria" w:hAnsi="Cambria" w:eastAsia="Times New Roman" w:cs="Times New Roman"/>
          <w:b/>
          <w:bCs/>
          <w:sz w:val="20"/>
          <w:szCs w:val="20"/>
        </w:rPr>
        <w:t xml:space="preserve">References</w:t>
      </w:r>
      <w:r>
        <w:rPr>
          <w:rFonts w:ascii="Cambria" w:hAnsi="Cambria"/>
          <w:b/>
          <w:bCs/>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Anon. 2026. REPORT OF THE 2026 ICCAT ATLANTIC SWORDFISH DATA PREPARATORY MEETING (Online, March 23 to 27 March 2026). </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Carvalho, F., Winker, H., Courtney, D., Kapur, M., Kell, L.T., Cardinale, M., Schirripa, M., </w:t>
      </w:r>
      <w:r>
        <w:rPr>
          <w:rFonts w:ascii="Cambria" w:hAnsi="Cambria" w:eastAsia="Times New Roman" w:cs="Times New Roman"/>
          <w:sz w:val="20"/>
          <w:szCs w:val="20"/>
        </w:rPr>
        <w:t xml:space="preserve">Kitakado</w:t>
      </w:r>
      <w:r>
        <w:rPr>
          <w:rFonts w:ascii="Cambria" w:hAnsi="Cambria" w:eastAsia="Times New Roman" w:cs="Times New Roman"/>
          <w:sz w:val="20"/>
          <w:szCs w:val="20"/>
        </w:rPr>
        <w:t xml:space="preserve">, T., and Methot, R. 2021. A cookbook for using model diagnostics in integrated stock assessments. Fisheries Research, 240: 105959.</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Jardim, E., Millar, C.P., Mosqueira, I., Scott, F., Osio, G.C., Ferretti, M., </w:t>
      </w:r>
      <w:r>
        <w:rPr>
          <w:rFonts w:ascii="Cambria" w:hAnsi="Cambria" w:eastAsia="Times New Roman" w:cs="Times New Roman"/>
          <w:sz w:val="20"/>
          <w:szCs w:val="20"/>
        </w:rPr>
        <w:t xml:space="preserve">Alzorriz</w:t>
      </w:r>
      <w:r>
        <w:rPr>
          <w:rFonts w:ascii="Cambria" w:hAnsi="Cambria" w:eastAsia="Times New Roman" w:cs="Times New Roman"/>
          <w:sz w:val="20"/>
          <w:szCs w:val="20"/>
        </w:rPr>
        <w:t xml:space="preserve">, N., and Orio, A. 2015. What if stock assessment is as simple as a linear model? The a4a initiative. ICES Journal of Marine Science, 72(1): 232–236.</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Gudmundsson, G. 1994. Time-series Analysis of Catch-at-age Observations. Journal of Applied Statistics, 43:117–126. ICES. 2012.</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Kell, L.T., Mosqueira, I., Grosjean, P., </w:t>
      </w:r>
      <w:r>
        <w:rPr>
          <w:rFonts w:ascii="Cambria" w:hAnsi="Cambria" w:eastAsia="Times New Roman" w:cs="Times New Roman"/>
          <w:sz w:val="20"/>
          <w:szCs w:val="20"/>
        </w:rPr>
        <w:t xml:space="preserve">Fromentin</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J.-M., Garcia, D., Hillary, R., Jardim, E., Mardle, S., Pastoors, M.A., Poos, J.J., Scott, F., and Scott, R.D. 2007. FLR: an open-source framework for the evaluation and development of management strategies. ICES Journal of Marine Science, 64(4): 640–646.</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Kell, L.T., Kimoto, A., and </w:t>
      </w:r>
      <w:r>
        <w:rPr>
          <w:rFonts w:ascii="Cambria" w:hAnsi="Cambria" w:eastAsia="Times New Roman" w:cs="Times New Roman"/>
          <w:sz w:val="20"/>
          <w:szCs w:val="20"/>
        </w:rPr>
        <w:t xml:space="preserve">Kitakado</w:t>
      </w:r>
      <w:r>
        <w:rPr>
          <w:rFonts w:ascii="Cambria" w:hAnsi="Cambria" w:eastAsia="Times New Roman" w:cs="Times New Roman"/>
          <w:sz w:val="20"/>
          <w:szCs w:val="20"/>
        </w:rPr>
        <w:t xml:space="preserve">, T. 2016. Evaluation of the prediction skill of stock assessment using hindcasting. Fisheries Research, 183: 119–127.</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Mantopoulou-Palouka</w:t>
      </w:r>
      <w:r>
        <w:rPr>
          <w:rFonts w:ascii="Cambria" w:hAnsi="Cambria" w:eastAsia="Times New Roman" w:cs="Times New Roman"/>
          <w:sz w:val="20"/>
          <w:szCs w:val="20"/>
        </w:rPr>
        <w:t xml:space="preserve">, D., and </w:t>
      </w:r>
      <w:r>
        <w:rPr>
          <w:rFonts w:ascii="Cambria" w:hAnsi="Cambria" w:eastAsia="Times New Roman" w:cs="Times New Roman"/>
          <w:sz w:val="20"/>
          <w:szCs w:val="20"/>
        </w:rPr>
        <w:t xml:space="preserve">Tserpes</w:t>
      </w:r>
      <w:r>
        <w:rPr>
          <w:rFonts w:ascii="Cambria" w:hAnsi="Cambria" w:eastAsia="Times New Roman" w:cs="Times New Roman"/>
          <w:sz w:val="20"/>
          <w:szCs w:val="20"/>
        </w:rPr>
        <w:t xml:space="preserve">, G. 2020. Assessment of the Mediterranean swordfish stock by means of Assessment for All. Col. Vol. Sci. Pap. ICCAT, 77(3), SCRS/2020/078: 482-507.</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lang w:val="pt-BR"/>
        </w:rPr>
        <w:t xml:space="preserve">Millar, C.P., Jardim, E., Mosqueira, I., and Osio C. 201</w:t>
      </w:r>
      <w:r>
        <w:rPr>
          <w:rFonts w:ascii="Cambria" w:hAnsi="Cambria" w:eastAsia="Times New Roman" w:cs="Times New Roman"/>
          <w:sz w:val="20"/>
          <w:szCs w:val="20"/>
          <w:lang w:val="pt-BR"/>
        </w:rPr>
        <w:t xml:space="preserve">3</w:t>
      </w:r>
      <w:r>
        <w:rPr>
          <w:rFonts w:ascii="Cambria" w:hAnsi="Cambria" w:eastAsia="Times New Roman" w:cs="Times New Roman"/>
          <w:sz w:val="20"/>
          <w:szCs w:val="20"/>
          <w:lang w:val="pt-BR"/>
        </w:rPr>
        <w:t xml:space="preserve">. </w:t>
      </w:r>
      <w:r>
        <w:rPr>
          <w:rFonts w:ascii="Cambria" w:hAnsi="Cambria" w:eastAsia="Times New Roman" w:cs="Times New Roman"/>
          <w:sz w:val="20"/>
          <w:szCs w:val="20"/>
        </w:rPr>
        <w:t xml:space="preserve">The a4a Assessment Model - Model description and testing</w:t>
      </w:r>
      <w:r>
        <w:rPr>
          <w:rFonts w:ascii="Cambria" w:hAnsi="Cambria" w:eastAsia="Times New Roman" w:cs="Times New Roman"/>
          <w:sz w:val="20"/>
          <w:szCs w:val="20"/>
        </w:rPr>
        <w:t xml:space="preserve">. EUR 25661 EN. Luxembourg (Luxembourg): Publications Office of the European Union; 2012. JRC77496.</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Mosqueira, I. and Winker, H. 2025. a4adiags: Diagnostics for FLa4a stock assessment models. R package. </w:t>
      </w:r>
      <w:hyperlink r:id="rId18" w:tooltip="https://github.com/flr/a4adiags" w:history="1">
        <w:r>
          <w:rPr>
            <w:rStyle w:val="934"/>
            <w:rFonts w:ascii="Cambria" w:hAnsi="Cambria"/>
            <w:sz w:val="20"/>
            <w:szCs w:val="20"/>
          </w:rPr>
          <w:t xml:space="preserve">https://github.com/flr/a4adiags</w:t>
        </w:r>
      </w:hyperlink>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Nielsen A., Berg C. W. 2014. Estimation of time-varying selectivity in stock assessments using state-space models. Fisheries Research, 158: 96–101.</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Shepherd, J. G. 1999. Extended survivor analysis: an improved method for the analysis of </w:t>
      </w:r>
      <w:r>
        <w:rPr>
          <w:rFonts w:ascii="Cambria" w:hAnsi="Cambria" w:eastAsia="Times New Roman" w:cs="Times New Roman"/>
          <w:sz w:val="20"/>
          <w:szCs w:val="20"/>
        </w:rPr>
        <w:t xml:space="preserve">catchat</w:t>
      </w:r>
      <w:r>
        <w:rPr>
          <w:rFonts w:ascii="Cambria" w:hAnsi="Cambria" w:eastAsia="Times New Roman" w:cs="Times New Roman"/>
          <w:sz w:val="20"/>
          <w:szCs w:val="20"/>
        </w:rPr>
        <w:t xml:space="preserve">-age data and abundance indices. ICES Journal of Marine Science 56: 584-59.</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Punt, A.E., Butterworth, D.S., de Moor, C.L., De Oliveira, J.A.A., and Haddon, M. 2016. Management strategy evaluation: best practices. Fish and Fisheries, 17(2): 303–334.</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sectPr>
      <w:headerReference w:type="first" r:id="rId9"/>
      <w:footnotePr/>
      <w:endnotePr/>
      <w:type w:val="nextPage"/>
      <w:pgSz w:h="15840" w:orient="portrait" w:w="12240"/>
      <w:pgMar w:top="1411" w:right="1411" w:bottom="1411" w:left="1411" w:header="720" w:footer="720" w:gutter="0"/>
      <w:cols w:num="1" w:sep="0" w:space="720" w:equalWidth="1"/>
      <w:titlePg/>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i Kimoto" w:date="2026-05-29T11:13:00Z" w:initials="AK">
    <w:p w14:paraId="00000001" w14:textId="00000001">
      <w:pPr>
        <w:spacing w:line="240" w:after="0" w:lineRule="auto" w:before="0"/>
        <w:ind w:firstLine="0" w:left="0" w:right="0"/>
        <w:jc w:val="left"/>
      </w:pPr>
      <w:r>
        <w:rPr>
          <w:rFonts w:eastAsia="Arial" w:ascii="Arial" w:hAnsi="Arial" w:cs="Arial"/>
          <w:sz w:val="22"/>
        </w:rPr>
        <w:t xml:space="preserve">add explanation for “s”, and if necessary more equations.</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FD27582" w16cex:dateUtc="2026-05-29T09:13:00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3FD2758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Cambria">
    <w:panose1 w:val="0204050305040603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Style w:val="928"/>
        <w:pBdr/>
        <w:spacing/>
        <w:ind/>
        <w:rPr>
          <w:rFonts w:ascii="Cambria" w:hAnsi="Cambria"/>
          <w:sz w:val="16"/>
          <w:szCs w:val="16"/>
          <w:lang w:val="pt-BR"/>
        </w:rPr>
      </w:pPr>
      <w:r>
        <w:rPr>
          <w:rStyle w:val="930"/>
          <w:rFonts w:ascii="Cambria" w:hAnsi="Cambria"/>
          <w:sz w:val="16"/>
          <w:szCs w:val="16"/>
        </w:rPr>
        <w:footnoteRef/>
      </w:r>
      <w:r>
        <w:rPr>
          <w:rFonts w:ascii="Cambria" w:hAnsi="Cambria"/>
          <w:sz w:val="16"/>
          <w:szCs w:val="16"/>
          <w:lang w:val="pt-BR"/>
        </w:rPr>
        <w:t xml:space="preserve"> Instituto Português do Mar e Atmosfera (IPMA), Lisbon, Portugal </w:t>
      </w:r>
      <w:r>
        <w:rPr>
          <w:rFonts w:ascii="Cambria" w:hAnsi="Cambria"/>
          <w:sz w:val="16"/>
          <w:szCs w:val="16"/>
          <w:lang w:val="pt-BR"/>
        </w:rPr>
      </w:r>
    </w:p>
  </w:footnote>
  <w:footnote w:id="3">
    <w:p>
      <w:pPr>
        <w:pStyle w:val="928"/>
        <w:pBdr/>
        <w:spacing/>
        <w:ind/>
        <w:rPr>
          <w:rFonts w:ascii="Cambria" w:hAnsi="Cambria"/>
          <w:sz w:val="16"/>
          <w:szCs w:val="16"/>
        </w:rPr>
      </w:pPr>
      <w:r>
        <w:rPr>
          <w:rStyle w:val="930"/>
          <w:rFonts w:ascii="Cambria" w:hAnsi="Cambria"/>
          <w:sz w:val="16"/>
          <w:szCs w:val="16"/>
        </w:rPr>
        <w:footnoteRef/>
      </w:r>
      <w:r>
        <w:rPr>
          <w:rFonts w:ascii="Cambria" w:hAnsi="Cambria"/>
          <w:sz w:val="16"/>
          <w:szCs w:val="16"/>
        </w:rPr>
        <w:t xml:space="preserve"> European Commission Joint Research Centre (JRC), </w:t>
      </w:r>
      <w:r>
        <w:rPr>
          <w:rFonts w:ascii="Cambria" w:hAnsi="Cambria"/>
          <w:sz w:val="16"/>
          <w:szCs w:val="16"/>
        </w:rPr>
        <w:t xml:space="preserve">Ispra</w:t>
      </w:r>
      <w:r>
        <w:rPr>
          <w:rFonts w:ascii="Cambria" w:hAnsi="Cambria"/>
          <w:sz w:val="16"/>
          <w:szCs w:val="16"/>
        </w:rPr>
        <w:t xml:space="preserve">, Italy </w:t>
      </w:r>
      <w:r>
        <w:rPr>
          <w:rFonts w:ascii="Cambria" w:hAnsi="Cambria"/>
          <w:sz w:val="16"/>
          <w:szCs w:val="16"/>
        </w:rPr>
      </w:r>
    </w:p>
  </w:footnote>
  <w:footnote w:id="4">
    <w:p>
      <w:pPr>
        <w:pStyle w:val="928"/>
        <w:pBdr/>
        <w:spacing/>
        <w:ind/>
        <w:rPr>
          <w:rFonts w:ascii="Cambria" w:hAnsi="Cambria"/>
          <w:sz w:val="16"/>
          <w:szCs w:val="16"/>
        </w:rPr>
      </w:pPr>
      <w:r>
        <w:rPr>
          <w:rStyle w:val="930"/>
          <w:rFonts w:ascii="Cambria" w:hAnsi="Cambria"/>
          <w:sz w:val="16"/>
          <w:szCs w:val="16"/>
        </w:rPr>
        <w:footnoteRef/>
      </w:r>
      <w:r>
        <w:rPr>
          <w:rFonts w:ascii="Cambria" w:hAnsi="Cambria"/>
          <w:sz w:val="16"/>
          <w:szCs w:val="16"/>
        </w:rPr>
        <w:t xml:space="preserve"> Hellenic Centre for Marine Research, Institute of Marine Biological Resources and Inland Waters, 71003 Heraklion, Greece </w:t>
      </w:r>
      <w:r>
        <w:rPr>
          <w:rFonts w:ascii="Cambria" w:hAnsi="Cambria"/>
          <w:sz w:val="16"/>
          <w:szCs w:val="16"/>
        </w:rPr>
      </w:r>
    </w:p>
  </w:footnote>
  <w:footnote w:id="5">
    <w:p>
      <w:pPr>
        <w:pStyle w:val="928"/>
        <w:pBdr/>
        <w:spacing/>
        <w:ind/>
        <w:rPr/>
      </w:pPr>
      <w:r>
        <w:rPr>
          <w:rStyle w:val="930"/>
          <w:rFonts w:ascii="Cambria" w:hAnsi="Cambria"/>
          <w:sz w:val="16"/>
          <w:szCs w:val="16"/>
        </w:rPr>
        <w:footnoteRef/>
      </w:r>
      <w:r>
        <w:rPr>
          <w:rFonts w:ascii="Cambria" w:hAnsi="Cambria"/>
          <w:sz w:val="16"/>
          <w:szCs w:val="16"/>
        </w:rPr>
        <w:t xml:space="preserve"> ICCAT Secretariat</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3"/>
      <w:pBdr/>
      <w:spacing/>
      <w:ind/>
      <w:rPr/>
    </w:pPr>
    <w:r>
      <w:rPr>
        <w:sz w:val="20"/>
        <w:szCs w:val="20"/>
      </w:rPr>
      <w:t xml:space="preserve">SCRS/2026/131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2"/>
  </w:num>
  <w:num w:numId="3">
    <w:abstractNumId w:val="0"/>
  </w:num>
  <w:num w:numId="4">
    <w:abstractNumId w:val="1"/>
  </w:num>
  <w:num w:numId="5">
    <w:abstractNumId w:val="3"/>
  </w:num>
  <w:num w:numId="6">
    <w:abstractNumId w:val="4"/>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 Kimoto">
    <w15:presenceInfo w15:providerId="AD" w15:userId="S::ai.kimoto@iccat.int::64409def-d32b-451a-809d-8cc5967554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7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60" w:default="1">
    <w:name w:val="Normal"/>
    <w:qFormat/>
    <w:pPr>
      <w:pBdr/>
      <w:spacing/>
      <w:ind/>
    </w:pPr>
  </w:style>
  <w:style w:type="paragraph" w:styleId="761">
    <w:name w:val="Heading 1"/>
    <w:basedOn w:val="760"/>
    <w:next w:val="760"/>
    <w:link w:val="899"/>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62">
    <w:name w:val="Heading 2"/>
    <w:basedOn w:val="760"/>
    <w:next w:val="760"/>
    <w:link w:val="900"/>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63">
    <w:name w:val="Heading 3"/>
    <w:basedOn w:val="760"/>
    <w:next w:val="760"/>
    <w:link w:val="901"/>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64">
    <w:name w:val="Heading 4"/>
    <w:basedOn w:val="760"/>
    <w:next w:val="760"/>
    <w:link w:val="902"/>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65">
    <w:name w:val="Heading 5"/>
    <w:basedOn w:val="760"/>
    <w:next w:val="760"/>
    <w:link w:val="903"/>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66">
    <w:name w:val="Heading 6"/>
    <w:basedOn w:val="760"/>
    <w:next w:val="760"/>
    <w:link w:val="90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67">
    <w:name w:val="Heading 7"/>
    <w:basedOn w:val="760"/>
    <w:next w:val="760"/>
    <w:link w:val="90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68">
    <w:name w:val="Heading 8"/>
    <w:basedOn w:val="760"/>
    <w:next w:val="760"/>
    <w:link w:val="90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69">
    <w:name w:val="Heading 9"/>
    <w:basedOn w:val="760"/>
    <w:next w:val="760"/>
    <w:link w:val="90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70" w:default="1">
    <w:name w:val="Default Paragraph Font"/>
    <w:uiPriority w:val="1"/>
    <w:semiHidden/>
    <w:unhideWhenUsed/>
    <w:pPr>
      <w:pBdr/>
      <w:spacing/>
      <w:ind/>
    </w:pPr>
  </w:style>
  <w:style w:type="table" w:styleId="77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2" w:default="1">
    <w:name w:val="No List"/>
    <w:uiPriority w:val="99"/>
    <w:semiHidden/>
    <w:unhideWhenUsed/>
    <w:pPr>
      <w:pBdr/>
      <w:spacing/>
      <w:ind/>
    </w:pPr>
  </w:style>
  <w:style w:type="table" w:styleId="773">
    <w:name w:val="Grid Table Light"/>
    <w:basedOn w:val="77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Accent 1"/>
    <w:basedOn w:val="771"/>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Accent 2"/>
    <w:basedOn w:val="77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Accent 3"/>
    <w:basedOn w:val="77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Accent 4"/>
    <w:basedOn w:val="77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Accent 5"/>
    <w:basedOn w:val="771"/>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Accent 6"/>
    <w:basedOn w:val="77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Accent 1"/>
    <w:basedOn w:val="771"/>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Accent 2"/>
    <w:basedOn w:val="77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Accent 3"/>
    <w:basedOn w:val="77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Accent 4"/>
    <w:basedOn w:val="77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Accent 5"/>
    <w:basedOn w:val="771"/>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Accent 6"/>
    <w:basedOn w:val="77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Accent 1"/>
    <w:basedOn w:val="771"/>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Accent 2"/>
    <w:basedOn w:val="77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Accent 3"/>
    <w:basedOn w:val="77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Accent 4"/>
    <w:basedOn w:val="77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Accent 5"/>
    <w:basedOn w:val="771"/>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Accent 6"/>
    <w:basedOn w:val="77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Accent 1"/>
    <w:basedOn w:val="771"/>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Accent 2"/>
    <w:basedOn w:val="771"/>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Accent 3"/>
    <w:basedOn w:val="771"/>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Accent 4"/>
    <w:basedOn w:val="771"/>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Accent 5"/>
    <w:basedOn w:val="771"/>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Accent 6"/>
    <w:basedOn w:val="771"/>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Accent 2"/>
    <w:basedOn w:val="77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Accent 3"/>
    <w:basedOn w:val="77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5"/>
    <w:basedOn w:val="77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6"/>
    <w:basedOn w:val="77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6 Colorful Accent 1"/>
    <w:basedOn w:val="771"/>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Accent 2"/>
    <w:basedOn w:val="77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6 Colorful Accent 3"/>
    <w:basedOn w:val="771"/>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6 Colorful Accent 4"/>
    <w:basedOn w:val="77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6 Colorful Accent 5"/>
    <w:basedOn w:val="771"/>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Accent 6"/>
    <w:basedOn w:val="771"/>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Accent 1"/>
    <w:basedOn w:val="771"/>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Accent 2"/>
    <w:basedOn w:val="771"/>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Accent 3"/>
    <w:basedOn w:val="771"/>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Accent 4"/>
    <w:basedOn w:val="771"/>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Accent 5"/>
    <w:basedOn w:val="771"/>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Accent 6"/>
    <w:basedOn w:val="771"/>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Accent 1"/>
    <w:basedOn w:val="77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Accent 2"/>
    <w:basedOn w:val="77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Accent 3"/>
    <w:basedOn w:val="77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Accent 4"/>
    <w:basedOn w:val="77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Accent 5"/>
    <w:basedOn w:val="77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Accent 6"/>
    <w:basedOn w:val="77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Accent 1"/>
    <w:basedOn w:val="771"/>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Accent 2"/>
    <w:basedOn w:val="771"/>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Accent 3"/>
    <w:basedOn w:val="771"/>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Accent 4"/>
    <w:basedOn w:val="771"/>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Accent 5"/>
    <w:basedOn w:val="771"/>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Accent 6"/>
    <w:basedOn w:val="771"/>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Accent 1"/>
    <w:basedOn w:val="771"/>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Accent 2"/>
    <w:basedOn w:val="77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Accent 3"/>
    <w:basedOn w:val="771"/>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Accent 4"/>
    <w:basedOn w:val="77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Accent 5"/>
    <w:basedOn w:val="771"/>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Accent 6"/>
    <w:basedOn w:val="771"/>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Accent 1"/>
    <w:basedOn w:val="771"/>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Accent 2"/>
    <w:basedOn w:val="771"/>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Accent 3"/>
    <w:basedOn w:val="771"/>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Accent 4"/>
    <w:basedOn w:val="771"/>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Accent 5"/>
    <w:basedOn w:val="771"/>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Accent 6"/>
    <w:basedOn w:val="771"/>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Accent 1"/>
    <w:basedOn w:val="771"/>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Accent 2"/>
    <w:basedOn w:val="771"/>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Accent 3"/>
    <w:basedOn w:val="771"/>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Accent 4"/>
    <w:basedOn w:val="771"/>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5 Dark Accent 5"/>
    <w:basedOn w:val="771"/>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5 Dark Accent 6"/>
    <w:basedOn w:val="771"/>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Accent 1"/>
    <w:basedOn w:val="771"/>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Accent 2"/>
    <w:basedOn w:val="771"/>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Accent 3"/>
    <w:basedOn w:val="771"/>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Accent 4"/>
    <w:basedOn w:val="771"/>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Accent 5"/>
    <w:basedOn w:val="771"/>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Accent 6"/>
    <w:basedOn w:val="771"/>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Accent 1"/>
    <w:basedOn w:val="771"/>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Accent 2"/>
    <w:basedOn w:val="771"/>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Accent 3"/>
    <w:basedOn w:val="771"/>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7 Colorful Accent 4"/>
    <w:basedOn w:val="771"/>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7 Colorful Accent 5"/>
    <w:basedOn w:val="771"/>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Accent 6"/>
    <w:basedOn w:val="771"/>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Table Grid"/>
    <w:basedOn w:val="771"/>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1"/>
    <w:basedOn w:val="77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2"/>
    <w:basedOn w:val="77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3"/>
    <w:basedOn w:val="77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Plain Table 4"/>
    <w:basedOn w:val="77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5"/>
    <w:basedOn w:val="77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w:basedOn w:val="77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w:basedOn w:val="77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w:basedOn w:val="77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w:basedOn w:val="77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w:basedOn w:val="77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5 Dark- Accent 1"/>
    <w:basedOn w:val="77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5 Dark- Accent 4"/>
    <w:basedOn w:val="77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6 Colorful"/>
    <w:basedOn w:val="77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w:basedOn w:val="77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w:basedOn w:val="77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w:basedOn w:val="77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w:basedOn w:val="77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w:basedOn w:val="77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5 Dark"/>
    <w:basedOn w:val="77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w:basedOn w:val="77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7 Colorful"/>
    <w:basedOn w:val="77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ned - Accent"/>
    <w:basedOn w:val="771"/>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ned - Accent 1"/>
    <w:basedOn w:val="771"/>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ned - Accent 2"/>
    <w:basedOn w:val="771"/>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ned - Accent 3"/>
    <w:basedOn w:val="771"/>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ned - Accent 4"/>
    <w:basedOn w:val="771"/>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ned - Accent 5"/>
    <w:basedOn w:val="771"/>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ned - Accent 6"/>
    <w:basedOn w:val="771"/>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Bordered &amp; Lined - Accent"/>
    <w:basedOn w:val="771"/>
    <w:uiPriority w:val="99"/>
    <w:pPr>
      <w:pBdr/>
      <w:spacing w:after="0" w:line="240" w:lineRule="auto"/>
      <w:ind/>
    </w:pPr>
    <w:rPr>
      <w:color w:val="404040"/>
      <w:sz w:val="20"/>
      <w:szCs w:val="20"/>
      <w:lang w:eastAsia="ja-JP"/>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Bordered &amp; Lined - Accent 1"/>
    <w:basedOn w:val="771"/>
    <w:uiPriority w:val="99"/>
    <w:pPr>
      <w:pBdr/>
      <w:spacing w:after="0" w:line="240" w:lineRule="auto"/>
      <w:ind/>
    </w:pPr>
    <w:rPr>
      <w:color w:val="404040"/>
      <w:sz w:val="20"/>
      <w:szCs w:val="20"/>
      <w:lang w:eastAsia="ja-JP"/>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Bordered &amp; Lined - Accent 2"/>
    <w:basedOn w:val="771"/>
    <w:uiPriority w:val="99"/>
    <w:pPr>
      <w:pBdr/>
      <w:spacing w:after="0" w:line="240" w:lineRule="auto"/>
      <w:ind/>
    </w:pPr>
    <w:rPr>
      <w:color w:val="404040"/>
      <w:sz w:val="20"/>
      <w:szCs w:val="20"/>
      <w:lang w:eastAsia="ja-JP"/>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Bordered &amp; Lined - Accent 3"/>
    <w:basedOn w:val="771"/>
    <w:uiPriority w:val="99"/>
    <w:pPr>
      <w:pBdr/>
      <w:spacing w:after="0" w:line="240" w:lineRule="auto"/>
      <w:ind/>
    </w:pPr>
    <w:rPr>
      <w:color w:val="404040"/>
      <w:sz w:val="20"/>
      <w:szCs w:val="20"/>
      <w:lang w:eastAsia="ja-JP"/>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Bordered &amp; Lined - Accent 4"/>
    <w:basedOn w:val="771"/>
    <w:uiPriority w:val="99"/>
    <w:pPr>
      <w:pBdr/>
      <w:spacing w:after="0" w:line="240" w:lineRule="auto"/>
      <w:ind/>
    </w:pPr>
    <w:rPr>
      <w:color w:val="404040"/>
      <w:sz w:val="20"/>
      <w:szCs w:val="20"/>
      <w:lang w:eastAsia="ja-JP"/>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amp; Lined - Accent 5"/>
    <w:basedOn w:val="771"/>
    <w:uiPriority w:val="99"/>
    <w:pPr>
      <w:pBdr/>
      <w:spacing w:after="0" w:line="240" w:lineRule="auto"/>
      <w:ind/>
    </w:pPr>
    <w:rPr>
      <w:color w:val="404040"/>
      <w:sz w:val="20"/>
      <w:szCs w:val="20"/>
      <w:lang w:eastAsia="ja-JP"/>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amp; Lined - Accent 6"/>
    <w:basedOn w:val="771"/>
    <w:uiPriority w:val="99"/>
    <w:pPr>
      <w:pBdr/>
      <w:spacing w:after="0" w:line="240" w:lineRule="auto"/>
      <w:ind/>
    </w:pPr>
    <w:rPr>
      <w:color w:val="404040"/>
      <w:sz w:val="20"/>
      <w:szCs w:val="20"/>
      <w:lang w:eastAsia="ja-JP"/>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w:basedOn w:val="77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 Accent 1"/>
    <w:basedOn w:val="771"/>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 Accent 2"/>
    <w:basedOn w:val="77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 Accent 3"/>
    <w:basedOn w:val="77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 Accent 4"/>
    <w:basedOn w:val="77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 Accent 5"/>
    <w:basedOn w:val="771"/>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 Accent 6"/>
    <w:basedOn w:val="77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9" w:customStyle="1">
    <w:name w:val="Heading 1 Char"/>
    <w:basedOn w:val="770"/>
    <w:link w:val="761"/>
    <w:uiPriority w:val="9"/>
    <w:pPr>
      <w:pBdr/>
      <w:spacing/>
      <w:ind/>
    </w:pPr>
    <w:rPr>
      <w:rFonts w:ascii="Arial" w:hAnsi="Arial" w:eastAsia="Arial" w:cs="Arial"/>
      <w:color w:val="2e74b5" w:themeColor="accent1" w:themeShade="BF"/>
      <w:sz w:val="40"/>
      <w:szCs w:val="40"/>
    </w:rPr>
  </w:style>
  <w:style w:type="character" w:styleId="900" w:customStyle="1">
    <w:name w:val="Heading 2 Char"/>
    <w:basedOn w:val="770"/>
    <w:link w:val="762"/>
    <w:uiPriority w:val="9"/>
    <w:pPr>
      <w:pBdr/>
      <w:spacing/>
      <w:ind/>
    </w:pPr>
    <w:rPr>
      <w:rFonts w:ascii="Arial" w:hAnsi="Arial" w:eastAsia="Arial" w:cs="Arial"/>
      <w:color w:val="2e74b5" w:themeColor="accent1" w:themeShade="BF"/>
      <w:sz w:val="32"/>
      <w:szCs w:val="32"/>
    </w:rPr>
  </w:style>
  <w:style w:type="character" w:styleId="901" w:customStyle="1">
    <w:name w:val="Heading 3 Char"/>
    <w:basedOn w:val="770"/>
    <w:link w:val="763"/>
    <w:uiPriority w:val="9"/>
    <w:pPr>
      <w:pBdr/>
      <w:spacing/>
      <w:ind/>
    </w:pPr>
    <w:rPr>
      <w:rFonts w:ascii="Arial" w:hAnsi="Arial" w:eastAsia="Arial" w:cs="Arial"/>
      <w:color w:val="2e74b5" w:themeColor="accent1" w:themeShade="BF"/>
      <w:sz w:val="28"/>
      <w:szCs w:val="28"/>
    </w:rPr>
  </w:style>
  <w:style w:type="character" w:styleId="902" w:customStyle="1">
    <w:name w:val="Heading 4 Char"/>
    <w:basedOn w:val="770"/>
    <w:link w:val="764"/>
    <w:uiPriority w:val="9"/>
    <w:pPr>
      <w:pBdr/>
      <w:spacing/>
      <w:ind/>
    </w:pPr>
    <w:rPr>
      <w:rFonts w:ascii="Arial" w:hAnsi="Arial" w:eastAsia="Arial" w:cs="Arial"/>
      <w:i/>
      <w:iCs/>
      <w:color w:val="2e74b5" w:themeColor="accent1" w:themeShade="BF"/>
    </w:rPr>
  </w:style>
  <w:style w:type="character" w:styleId="903" w:customStyle="1">
    <w:name w:val="Heading 5 Char"/>
    <w:basedOn w:val="770"/>
    <w:link w:val="765"/>
    <w:uiPriority w:val="9"/>
    <w:pPr>
      <w:pBdr/>
      <w:spacing/>
      <w:ind/>
    </w:pPr>
    <w:rPr>
      <w:rFonts w:ascii="Arial" w:hAnsi="Arial" w:eastAsia="Arial" w:cs="Arial"/>
      <w:color w:val="2e74b5" w:themeColor="accent1" w:themeShade="BF"/>
    </w:rPr>
  </w:style>
  <w:style w:type="character" w:styleId="904" w:customStyle="1">
    <w:name w:val="Heading 6 Char"/>
    <w:basedOn w:val="770"/>
    <w:link w:val="766"/>
    <w:uiPriority w:val="9"/>
    <w:pPr>
      <w:pBdr/>
      <w:spacing/>
      <w:ind/>
    </w:pPr>
    <w:rPr>
      <w:rFonts w:ascii="Arial" w:hAnsi="Arial" w:eastAsia="Arial" w:cs="Arial"/>
      <w:i/>
      <w:iCs/>
      <w:color w:val="595959" w:themeColor="text1" w:themeTint="A6"/>
    </w:rPr>
  </w:style>
  <w:style w:type="character" w:styleId="905" w:customStyle="1">
    <w:name w:val="Heading 7 Char"/>
    <w:basedOn w:val="770"/>
    <w:link w:val="767"/>
    <w:uiPriority w:val="9"/>
    <w:pPr>
      <w:pBdr/>
      <w:spacing/>
      <w:ind/>
    </w:pPr>
    <w:rPr>
      <w:rFonts w:ascii="Arial" w:hAnsi="Arial" w:eastAsia="Arial" w:cs="Arial"/>
      <w:color w:val="595959" w:themeColor="text1" w:themeTint="A6"/>
    </w:rPr>
  </w:style>
  <w:style w:type="character" w:styleId="906" w:customStyle="1">
    <w:name w:val="Heading 8 Char"/>
    <w:basedOn w:val="770"/>
    <w:link w:val="768"/>
    <w:uiPriority w:val="9"/>
    <w:pPr>
      <w:pBdr/>
      <w:spacing/>
      <w:ind/>
    </w:pPr>
    <w:rPr>
      <w:rFonts w:ascii="Arial" w:hAnsi="Arial" w:eastAsia="Arial" w:cs="Arial"/>
      <w:i/>
      <w:iCs/>
      <w:color w:val="272727" w:themeColor="text1" w:themeTint="D8"/>
    </w:rPr>
  </w:style>
  <w:style w:type="character" w:styleId="907" w:customStyle="1">
    <w:name w:val="Heading 9 Char"/>
    <w:basedOn w:val="770"/>
    <w:link w:val="769"/>
    <w:uiPriority w:val="9"/>
    <w:pPr>
      <w:pBdr/>
      <w:spacing/>
      <w:ind/>
    </w:pPr>
    <w:rPr>
      <w:rFonts w:ascii="Arial" w:hAnsi="Arial" w:eastAsia="Arial" w:cs="Arial"/>
      <w:i/>
      <w:iCs/>
      <w:color w:val="272727" w:themeColor="text1" w:themeTint="D8"/>
    </w:rPr>
  </w:style>
  <w:style w:type="paragraph" w:styleId="908">
    <w:name w:val="Title"/>
    <w:basedOn w:val="760"/>
    <w:next w:val="760"/>
    <w:link w:val="909"/>
    <w:uiPriority w:val="10"/>
    <w:qFormat/>
    <w:pPr>
      <w:pBdr/>
      <w:spacing w:after="80" w:line="240" w:lineRule="auto"/>
      <w:ind/>
      <w:contextualSpacing w:val="true"/>
    </w:pPr>
    <w:rPr>
      <w:rFonts w:ascii="Arial" w:hAnsi="Arial" w:eastAsia="Arial" w:cs="Arial"/>
      <w:spacing w:val="-10"/>
      <w:sz w:val="56"/>
      <w:szCs w:val="56"/>
    </w:rPr>
  </w:style>
  <w:style w:type="character" w:styleId="909" w:customStyle="1">
    <w:name w:val="Title Char"/>
    <w:basedOn w:val="770"/>
    <w:link w:val="908"/>
    <w:uiPriority w:val="10"/>
    <w:pPr>
      <w:pBdr/>
      <w:spacing/>
      <w:ind/>
    </w:pPr>
    <w:rPr>
      <w:rFonts w:ascii="Arial" w:hAnsi="Arial" w:eastAsia="Arial" w:cs="Arial"/>
      <w:spacing w:val="-10"/>
      <w:sz w:val="56"/>
      <w:szCs w:val="56"/>
    </w:rPr>
  </w:style>
  <w:style w:type="paragraph" w:styleId="910">
    <w:name w:val="Subtitle"/>
    <w:basedOn w:val="760"/>
    <w:next w:val="760"/>
    <w:link w:val="911"/>
    <w:uiPriority w:val="11"/>
    <w:qFormat/>
    <w:pPr>
      <w:numPr>
        <w:ilvl w:val="1"/>
      </w:numPr>
      <w:pBdr/>
      <w:spacing/>
      <w:ind/>
    </w:pPr>
    <w:rPr>
      <w:color w:val="595959" w:themeColor="text1" w:themeTint="A6"/>
      <w:spacing w:val="15"/>
      <w:sz w:val="28"/>
      <w:szCs w:val="28"/>
    </w:rPr>
  </w:style>
  <w:style w:type="character" w:styleId="911" w:customStyle="1">
    <w:name w:val="Subtitle Char"/>
    <w:basedOn w:val="770"/>
    <w:link w:val="910"/>
    <w:uiPriority w:val="11"/>
    <w:pPr>
      <w:pBdr/>
      <w:spacing/>
      <w:ind/>
    </w:pPr>
    <w:rPr>
      <w:color w:val="595959" w:themeColor="text1" w:themeTint="A6"/>
      <w:spacing w:val="15"/>
      <w:sz w:val="28"/>
      <w:szCs w:val="28"/>
    </w:rPr>
  </w:style>
  <w:style w:type="paragraph" w:styleId="912">
    <w:name w:val="Quote"/>
    <w:basedOn w:val="760"/>
    <w:next w:val="760"/>
    <w:link w:val="913"/>
    <w:uiPriority w:val="29"/>
    <w:qFormat/>
    <w:pPr>
      <w:pBdr/>
      <w:spacing w:before="160"/>
      <w:ind/>
      <w:jc w:val="center"/>
    </w:pPr>
    <w:rPr>
      <w:i/>
      <w:iCs/>
      <w:color w:val="404040" w:themeColor="text1" w:themeTint="BF"/>
    </w:rPr>
  </w:style>
  <w:style w:type="character" w:styleId="913" w:customStyle="1">
    <w:name w:val="Quote Char"/>
    <w:basedOn w:val="770"/>
    <w:link w:val="912"/>
    <w:uiPriority w:val="29"/>
    <w:pPr>
      <w:pBdr/>
      <w:spacing/>
      <w:ind/>
    </w:pPr>
    <w:rPr>
      <w:i/>
      <w:iCs/>
      <w:color w:val="404040" w:themeColor="text1" w:themeTint="BF"/>
    </w:rPr>
  </w:style>
  <w:style w:type="character" w:styleId="914">
    <w:name w:val="Intense Emphasis"/>
    <w:basedOn w:val="770"/>
    <w:uiPriority w:val="21"/>
    <w:qFormat/>
    <w:pPr>
      <w:pBdr/>
      <w:spacing/>
      <w:ind/>
    </w:pPr>
    <w:rPr>
      <w:i/>
      <w:iCs/>
      <w:color w:val="2e74b5" w:themeColor="accent1" w:themeShade="BF"/>
    </w:rPr>
  </w:style>
  <w:style w:type="paragraph" w:styleId="915">
    <w:name w:val="Intense Quote"/>
    <w:basedOn w:val="760"/>
    <w:next w:val="760"/>
    <w:link w:val="916"/>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16" w:customStyle="1">
    <w:name w:val="Intense Quote Char"/>
    <w:basedOn w:val="770"/>
    <w:link w:val="915"/>
    <w:uiPriority w:val="30"/>
    <w:pPr>
      <w:pBdr/>
      <w:spacing/>
      <w:ind/>
    </w:pPr>
    <w:rPr>
      <w:i/>
      <w:iCs/>
      <w:color w:val="2e74b5" w:themeColor="accent1" w:themeShade="BF"/>
    </w:rPr>
  </w:style>
  <w:style w:type="character" w:styleId="917">
    <w:name w:val="Intense Reference"/>
    <w:basedOn w:val="770"/>
    <w:uiPriority w:val="32"/>
    <w:qFormat/>
    <w:pPr>
      <w:pBdr/>
      <w:spacing/>
      <w:ind/>
    </w:pPr>
    <w:rPr>
      <w:b/>
      <w:bCs/>
      <w:smallCaps/>
      <w:color w:val="2e74b5" w:themeColor="accent1" w:themeShade="BF"/>
      <w:spacing w:val="5"/>
    </w:rPr>
  </w:style>
  <w:style w:type="character" w:styleId="918">
    <w:name w:val="Subtle Emphasis"/>
    <w:basedOn w:val="770"/>
    <w:uiPriority w:val="19"/>
    <w:qFormat/>
    <w:pPr>
      <w:pBdr/>
      <w:spacing/>
      <w:ind/>
    </w:pPr>
    <w:rPr>
      <w:i/>
      <w:iCs/>
      <w:color w:val="404040" w:themeColor="text1" w:themeTint="BF"/>
    </w:rPr>
  </w:style>
  <w:style w:type="character" w:styleId="919">
    <w:name w:val="Emphasis"/>
    <w:basedOn w:val="770"/>
    <w:uiPriority w:val="20"/>
    <w:qFormat/>
    <w:pPr>
      <w:pBdr/>
      <w:spacing/>
      <w:ind/>
    </w:pPr>
    <w:rPr>
      <w:i/>
      <w:iCs/>
    </w:rPr>
  </w:style>
  <w:style w:type="character" w:styleId="920">
    <w:name w:val="Strong"/>
    <w:basedOn w:val="770"/>
    <w:uiPriority w:val="22"/>
    <w:qFormat/>
    <w:pPr>
      <w:pBdr/>
      <w:spacing/>
      <w:ind/>
    </w:pPr>
    <w:rPr>
      <w:b/>
      <w:bCs/>
    </w:rPr>
  </w:style>
  <w:style w:type="character" w:styleId="921">
    <w:name w:val="Subtle Reference"/>
    <w:basedOn w:val="770"/>
    <w:uiPriority w:val="31"/>
    <w:qFormat/>
    <w:pPr>
      <w:pBdr/>
      <w:spacing/>
      <w:ind/>
    </w:pPr>
    <w:rPr>
      <w:smallCaps/>
      <w:color w:val="5a5a5a" w:themeColor="text1" w:themeTint="A5"/>
    </w:rPr>
  </w:style>
  <w:style w:type="character" w:styleId="922">
    <w:name w:val="Book Title"/>
    <w:basedOn w:val="770"/>
    <w:uiPriority w:val="33"/>
    <w:qFormat/>
    <w:pPr>
      <w:pBdr/>
      <w:spacing/>
      <w:ind/>
    </w:pPr>
    <w:rPr>
      <w:b/>
      <w:bCs/>
      <w:i/>
      <w:iCs/>
      <w:spacing w:val="5"/>
    </w:rPr>
  </w:style>
  <w:style w:type="paragraph" w:styleId="923">
    <w:name w:val="Header"/>
    <w:basedOn w:val="760"/>
    <w:link w:val="924"/>
    <w:uiPriority w:val="99"/>
    <w:unhideWhenUsed/>
    <w:pPr>
      <w:pBdr/>
      <w:tabs>
        <w:tab w:val="center" w:leader="none" w:pos="4844"/>
        <w:tab w:val="right" w:leader="none" w:pos="9689"/>
      </w:tabs>
      <w:spacing w:after="0" w:line="240" w:lineRule="auto"/>
      <w:ind/>
    </w:pPr>
  </w:style>
  <w:style w:type="character" w:styleId="924" w:customStyle="1">
    <w:name w:val="Header Char"/>
    <w:basedOn w:val="770"/>
    <w:link w:val="923"/>
    <w:uiPriority w:val="99"/>
    <w:pPr>
      <w:pBdr/>
      <w:spacing/>
      <w:ind/>
    </w:pPr>
  </w:style>
  <w:style w:type="paragraph" w:styleId="925">
    <w:name w:val="Footer"/>
    <w:basedOn w:val="760"/>
    <w:link w:val="926"/>
    <w:uiPriority w:val="99"/>
    <w:unhideWhenUsed/>
    <w:pPr>
      <w:pBdr/>
      <w:tabs>
        <w:tab w:val="center" w:leader="none" w:pos="4844"/>
        <w:tab w:val="right" w:leader="none" w:pos="9689"/>
      </w:tabs>
      <w:spacing w:after="0" w:line="240" w:lineRule="auto"/>
      <w:ind/>
    </w:pPr>
  </w:style>
  <w:style w:type="character" w:styleId="926" w:customStyle="1">
    <w:name w:val="Footer Char"/>
    <w:basedOn w:val="770"/>
    <w:link w:val="925"/>
    <w:uiPriority w:val="99"/>
    <w:pPr>
      <w:pBdr/>
      <w:spacing/>
      <w:ind/>
    </w:pPr>
  </w:style>
  <w:style w:type="paragraph" w:styleId="927">
    <w:name w:val="Caption"/>
    <w:basedOn w:val="760"/>
    <w:next w:val="760"/>
    <w:uiPriority w:val="35"/>
    <w:unhideWhenUsed/>
    <w:qFormat/>
    <w:pPr>
      <w:pBdr/>
      <w:spacing w:line="240" w:lineRule="auto"/>
      <w:ind/>
    </w:pPr>
    <w:rPr>
      <w:i/>
      <w:iCs/>
      <w:color w:val="44546a" w:themeColor="text2"/>
      <w:sz w:val="18"/>
      <w:szCs w:val="18"/>
    </w:rPr>
  </w:style>
  <w:style w:type="paragraph" w:styleId="928">
    <w:name w:val="footnote text"/>
    <w:basedOn w:val="760"/>
    <w:link w:val="929"/>
    <w:uiPriority w:val="99"/>
    <w:semiHidden/>
    <w:unhideWhenUsed/>
    <w:pPr>
      <w:pBdr/>
      <w:spacing w:after="0" w:line="240" w:lineRule="auto"/>
      <w:ind/>
    </w:pPr>
    <w:rPr>
      <w:sz w:val="20"/>
      <w:szCs w:val="20"/>
    </w:rPr>
  </w:style>
  <w:style w:type="character" w:styleId="929" w:customStyle="1">
    <w:name w:val="Footnote Text Char"/>
    <w:basedOn w:val="770"/>
    <w:link w:val="928"/>
    <w:uiPriority w:val="99"/>
    <w:semiHidden/>
    <w:pPr>
      <w:pBdr/>
      <w:spacing/>
      <w:ind/>
    </w:pPr>
    <w:rPr>
      <w:sz w:val="20"/>
      <w:szCs w:val="20"/>
    </w:rPr>
  </w:style>
  <w:style w:type="character" w:styleId="930">
    <w:name w:val="footnote reference"/>
    <w:basedOn w:val="770"/>
    <w:uiPriority w:val="99"/>
    <w:semiHidden/>
    <w:unhideWhenUsed/>
    <w:pPr>
      <w:pBdr/>
      <w:spacing/>
      <w:ind/>
    </w:pPr>
    <w:rPr>
      <w:vertAlign w:val="superscript"/>
    </w:rPr>
  </w:style>
  <w:style w:type="paragraph" w:styleId="931">
    <w:name w:val="endnote text"/>
    <w:basedOn w:val="760"/>
    <w:link w:val="932"/>
    <w:uiPriority w:val="99"/>
    <w:semiHidden/>
    <w:unhideWhenUsed/>
    <w:pPr>
      <w:pBdr/>
      <w:spacing w:after="0" w:line="240" w:lineRule="auto"/>
      <w:ind/>
    </w:pPr>
    <w:rPr>
      <w:sz w:val="20"/>
      <w:szCs w:val="20"/>
    </w:rPr>
  </w:style>
  <w:style w:type="character" w:styleId="932" w:customStyle="1">
    <w:name w:val="Endnote Text Char"/>
    <w:basedOn w:val="770"/>
    <w:link w:val="931"/>
    <w:uiPriority w:val="99"/>
    <w:semiHidden/>
    <w:pPr>
      <w:pBdr/>
      <w:spacing/>
      <w:ind/>
    </w:pPr>
    <w:rPr>
      <w:sz w:val="20"/>
      <w:szCs w:val="20"/>
    </w:rPr>
  </w:style>
  <w:style w:type="character" w:styleId="933">
    <w:name w:val="endnote reference"/>
    <w:basedOn w:val="770"/>
    <w:uiPriority w:val="99"/>
    <w:semiHidden/>
    <w:unhideWhenUsed/>
    <w:pPr>
      <w:pBdr/>
      <w:spacing/>
      <w:ind/>
    </w:pPr>
    <w:rPr>
      <w:vertAlign w:val="superscript"/>
    </w:rPr>
  </w:style>
  <w:style w:type="character" w:styleId="934">
    <w:name w:val="Hyperlink"/>
    <w:basedOn w:val="770"/>
    <w:uiPriority w:val="99"/>
    <w:unhideWhenUsed/>
    <w:pPr>
      <w:pBdr/>
      <w:spacing/>
      <w:ind/>
    </w:pPr>
    <w:rPr>
      <w:color w:val="0563c1" w:themeColor="hyperlink"/>
      <w:u w:val="single"/>
    </w:rPr>
  </w:style>
  <w:style w:type="character" w:styleId="935">
    <w:name w:val="FollowedHyperlink"/>
    <w:basedOn w:val="770"/>
    <w:uiPriority w:val="99"/>
    <w:semiHidden/>
    <w:unhideWhenUsed/>
    <w:pPr>
      <w:pBdr/>
      <w:spacing/>
      <w:ind/>
    </w:pPr>
    <w:rPr>
      <w:color w:val="954f72" w:themeColor="followedHyperlink"/>
      <w:u w:val="single"/>
    </w:rPr>
  </w:style>
  <w:style w:type="paragraph" w:styleId="936">
    <w:name w:val="toc 1"/>
    <w:basedOn w:val="760"/>
    <w:next w:val="760"/>
    <w:uiPriority w:val="39"/>
    <w:unhideWhenUsed/>
    <w:pPr>
      <w:pBdr/>
      <w:spacing w:after="100"/>
      <w:ind/>
    </w:pPr>
  </w:style>
  <w:style w:type="paragraph" w:styleId="937">
    <w:name w:val="toc 2"/>
    <w:basedOn w:val="760"/>
    <w:next w:val="760"/>
    <w:uiPriority w:val="39"/>
    <w:unhideWhenUsed/>
    <w:pPr>
      <w:pBdr/>
      <w:spacing w:after="100"/>
      <w:ind w:left="220"/>
    </w:pPr>
  </w:style>
  <w:style w:type="paragraph" w:styleId="938">
    <w:name w:val="toc 3"/>
    <w:basedOn w:val="760"/>
    <w:next w:val="760"/>
    <w:uiPriority w:val="39"/>
    <w:unhideWhenUsed/>
    <w:pPr>
      <w:pBdr/>
      <w:spacing w:after="100"/>
      <w:ind w:left="440"/>
    </w:pPr>
  </w:style>
  <w:style w:type="paragraph" w:styleId="939">
    <w:name w:val="toc 4"/>
    <w:basedOn w:val="760"/>
    <w:next w:val="760"/>
    <w:uiPriority w:val="39"/>
    <w:unhideWhenUsed/>
    <w:pPr>
      <w:pBdr/>
      <w:spacing w:after="100"/>
      <w:ind w:left="660"/>
    </w:pPr>
  </w:style>
  <w:style w:type="paragraph" w:styleId="940">
    <w:name w:val="toc 5"/>
    <w:basedOn w:val="760"/>
    <w:next w:val="760"/>
    <w:uiPriority w:val="39"/>
    <w:unhideWhenUsed/>
    <w:pPr>
      <w:pBdr/>
      <w:spacing w:after="100"/>
      <w:ind w:left="880"/>
    </w:pPr>
  </w:style>
  <w:style w:type="paragraph" w:styleId="941">
    <w:name w:val="toc 6"/>
    <w:basedOn w:val="760"/>
    <w:next w:val="760"/>
    <w:uiPriority w:val="39"/>
    <w:unhideWhenUsed/>
    <w:pPr>
      <w:pBdr/>
      <w:spacing w:after="100"/>
      <w:ind w:left="1100"/>
    </w:pPr>
  </w:style>
  <w:style w:type="paragraph" w:styleId="942">
    <w:name w:val="toc 7"/>
    <w:basedOn w:val="760"/>
    <w:next w:val="760"/>
    <w:uiPriority w:val="39"/>
    <w:unhideWhenUsed/>
    <w:pPr>
      <w:pBdr/>
      <w:spacing w:after="100"/>
      <w:ind w:left="1320"/>
    </w:pPr>
  </w:style>
  <w:style w:type="paragraph" w:styleId="943">
    <w:name w:val="toc 8"/>
    <w:basedOn w:val="760"/>
    <w:next w:val="760"/>
    <w:uiPriority w:val="39"/>
    <w:unhideWhenUsed/>
    <w:pPr>
      <w:pBdr/>
      <w:spacing w:after="100"/>
      <w:ind w:left="1540"/>
    </w:pPr>
  </w:style>
  <w:style w:type="paragraph" w:styleId="944">
    <w:name w:val="toc 9"/>
    <w:basedOn w:val="760"/>
    <w:next w:val="760"/>
    <w:uiPriority w:val="39"/>
    <w:unhideWhenUsed/>
    <w:pPr>
      <w:pBdr/>
      <w:spacing w:after="100"/>
      <w:ind w:left="1760"/>
    </w:pPr>
  </w:style>
  <w:style w:type="paragraph" w:styleId="945">
    <w:name w:val="TOC Heading"/>
    <w:uiPriority w:val="39"/>
    <w:unhideWhenUsed/>
    <w:pPr>
      <w:pBdr/>
      <w:spacing/>
      <w:ind/>
    </w:pPr>
  </w:style>
  <w:style w:type="paragraph" w:styleId="946">
    <w:name w:val="table of figures"/>
    <w:basedOn w:val="760"/>
    <w:next w:val="760"/>
    <w:uiPriority w:val="99"/>
    <w:unhideWhenUsed/>
    <w:pPr>
      <w:pBdr/>
      <w:spacing w:after="0"/>
      <w:ind/>
    </w:pPr>
  </w:style>
  <w:style w:type="paragraph" w:styleId="947">
    <w:name w:val="No Spacing"/>
    <w:basedOn w:val="760"/>
    <w:uiPriority w:val="1"/>
    <w:qFormat/>
    <w:pPr>
      <w:pBdr/>
      <w:spacing w:after="0" w:line="240" w:lineRule="auto"/>
      <w:ind/>
    </w:pPr>
  </w:style>
  <w:style w:type="paragraph" w:styleId="948">
    <w:name w:val="List Paragraph"/>
    <w:basedOn w:val="760"/>
    <w:uiPriority w:val="34"/>
    <w:qFormat/>
    <w:pPr>
      <w:pBdr/>
      <w:spacing/>
      <w:ind w:left="720"/>
      <w:contextualSpacing w:val="true"/>
    </w:pPr>
  </w:style>
  <w:style w:type="paragraph" w:styleId="949">
    <w:name w:val="Revision"/>
    <w:hidden/>
    <w:uiPriority w:val="99"/>
    <w:semiHidden/>
    <w:pPr>
      <w:pBdr/>
      <w:spacing w:after="0" w:line="240" w:lineRule="auto"/>
      <w:ind/>
    </w:pPr>
  </w:style>
  <w:style w:type="character" w:styleId="950">
    <w:name w:val="Unresolved Mention"/>
    <w:basedOn w:val="770"/>
    <w:uiPriority w:val="99"/>
    <w:semiHidden/>
    <w:unhideWhenUsed/>
    <w:pPr>
      <w:pBdr/>
      <w:spacing/>
      <w:ind/>
    </w:pPr>
    <w:rPr>
      <w:color w:val="605e5c"/>
      <w:shd w:val="clear" w:color="auto" w:fill="e1dfdd"/>
    </w:rPr>
  </w:style>
  <w:style w:type="character" w:styleId="951">
    <w:name w:val="Placeholder Text"/>
    <w:basedOn w:val="770"/>
    <w:uiPriority w:val="99"/>
    <w:semiHidden/>
    <w:pPr>
      <w:pBdr/>
      <w:spacing/>
      <w:ind/>
    </w:pPr>
    <w:rPr>
      <w:color w:val="666666"/>
    </w:rPr>
  </w:style>
  <w:style w:type="character" w:styleId="952">
    <w:name w:val="annotation reference"/>
    <w:basedOn w:val="770"/>
    <w:uiPriority w:val="99"/>
    <w:semiHidden/>
    <w:unhideWhenUsed/>
    <w:pPr>
      <w:pBdr/>
      <w:spacing/>
      <w:ind/>
    </w:pPr>
    <w:rPr>
      <w:sz w:val="16"/>
      <w:szCs w:val="16"/>
    </w:rPr>
  </w:style>
  <w:style w:type="paragraph" w:styleId="953">
    <w:name w:val="annotation text"/>
    <w:basedOn w:val="760"/>
    <w:link w:val="954"/>
    <w:uiPriority w:val="99"/>
    <w:unhideWhenUsed/>
    <w:pPr>
      <w:pBdr/>
      <w:spacing w:line="240" w:lineRule="auto"/>
      <w:ind/>
    </w:pPr>
    <w:rPr>
      <w:sz w:val="20"/>
      <w:szCs w:val="20"/>
    </w:rPr>
  </w:style>
  <w:style w:type="character" w:styleId="954" w:customStyle="1">
    <w:name w:val="Comment Text Char"/>
    <w:basedOn w:val="770"/>
    <w:link w:val="953"/>
    <w:uiPriority w:val="99"/>
    <w:pPr>
      <w:pBdr/>
      <w:spacing/>
      <w:ind/>
    </w:pPr>
    <w:rPr>
      <w:sz w:val="20"/>
      <w:szCs w:val="20"/>
    </w:rPr>
  </w:style>
  <w:style w:type="paragraph" w:styleId="955">
    <w:name w:val="annotation subject"/>
    <w:basedOn w:val="953"/>
    <w:next w:val="953"/>
    <w:link w:val="956"/>
    <w:uiPriority w:val="99"/>
    <w:semiHidden/>
    <w:unhideWhenUsed/>
    <w:pPr>
      <w:pBdr/>
      <w:spacing/>
      <w:ind/>
    </w:pPr>
    <w:rPr>
      <w:b/>
      <w:bCs/>
    </w:rPr>
  </w:style>
  <w:style w:type="character" w:styleId="956" w:customStyle="1">
    <w:name w:val="Comment Subject Char"/>
    <w:basedOn w:val="954"/>
    <w:link w:val="955"/>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hyperlink" Target="https://flrproject.org/" TargetMode="External"/><Relationship Id="rId12" Type="http://schemas.openxmlformats.org/officeDocument/2006/relationships/hyperlink" Target="https://flrproject.org/" TargetMode="External"/><Relationship Id="rId13" Type="http://schemas.openxmlformats.org/officeDocument/2006/relationships/hyperlink" Target="https://flrproject.org/FLa4a/" TargetMode="External"/><Relationship Id="rId14" Type="http://schemas.openxmlformats.org/officeDocument/2006/relationships/hyperlink" Target="https://flrproject.org/FLa4a/" TargetMode="External"/><Relationship Id="rId15" Type="http://schemas.openxmlformats.org/officeDocument/2006/relationships/hyperlink" Target="https://www.ices.dk/PANDORA/Pages/Assessment.aspx" TargetMode="External"/><Relationship Id="rId16" Type="http://schemas.openxmlformats.org/officeDocument/2006/relationships/hyperlink" Target="https://github.com/flr/a4adiags" TargetMode="External"/><Relationship Id="rId17" Type="http://schemas.openxmlformats.org/officeDocument/2006/relationships/hyperlink" Target="https://github.com/flr/a4adiags" TargetMode="External"/><Relationship Id="rId18" Type="http://schemas.openxmlformats.org/officeDocument/2006/relationships/hyperlink" Target="https://github.com/flr/a4adiags" TargetMode="External"/><Relationship Id="rId19" Type="http://schemas.onlyoffice.com/commentsDocument" Target="commentsDocument.xml" /><Relationship Id="rId20" Type="http://schemas.onlyoffice.com/commentsExtendedDocument" Target="commentsExtendedDocument.xml" /><Relationship Id="rId21" Type="http://schemas.onlyoffice.com/commentsExtensibleDocument" Target="commentsExtensibleDocument.xml" /><Relationship Id="rId22" Type="http://schemas.onlyoffice.com/commentsIdsDocument" Target="commentsIdsDocument.xml" /><Relationship Id="rId23" Type="http://schemas.onlyoffice.com/peopleDocument" Target="peopleDocument.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6B05C-DA27-4B1E-B70E-E04FFEF3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13</cp:revision>
  <dcterms:created xsi:type="dcterms:W3CDTF">2026-05-18T15:28:00Z</dcterms:created>
  <dcterms:modified xsi:type="dcterms:W3CDTF">2026-06-30T14:16:35Z</dcterms:modified>
</cp:coreProperties>
</file>