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pPr>
        <w:spacing w:before="0" w:after="80"/>
      </w:pPr>
      <w:r>
        <w:rPr>
          <w:rFonts w:ascii="Arial" w:cs="Arial" w:eastAsia="Arial" w:hAnsi="Arial"/>
          <w:b/>
          <w:bCs/>
          <w:color w:val="1F3864"/>
          <w:sz w:val="52"/>
          <w:szCs w:val="52"/>
        </w:rPr>
        <w:t xml:space="preserve">SimulationsAnalytics SSAS Tabular</w:t>
      </w:r>
    </w:p>
    <w:p>
      <w:pPr>
        <w:spacing w:before="0" w:after="80"/>
      </w:pPr>
      <w:r>
        <w:rPr>
          <w:rFonts w:ascii="Arial" w:cs="Arial" w:eastAsia="Arial" w:hAnsi="Arial"/>
          <w:color w:val="2E75B6"/>
          <w:sz w:val="32"/>
          <w:szCs w:val="32"/>
        </w:rPr>
        <w:t xml:space="preserve">Partitioning Requirements Discovery &amp; Planning</w:t>
      </w:r>
    </w:p>
    <w:p>
      <w:pPr>
        <w:pBdr>
          <w:bottom w:val="single" w:color="2E75B6" w:sz="6" w:space="1"/>
        </w:pBdr>
        <w:spacing w:after="0"/>
      </w:pPr>
    </w:p>
    <w:p>
      <w:pPr>
        <w:spacing w:before="120" w:after="60"/>
      </w:pPr>
      <w:r>
        <w:rPr>
          <w:rFonts w:ascii="Arial" w:cs="Arial" w:eastAsia="Arial" w:hAnsi="Arial"/>
          <w:b/>
          <w:bCs/>
          <w:sz w:val="20"/>
          <w:szCs w:val="20"/>
        </w:rPr>
        <w:t xml:space="preserve">Status: </w:t>
      </w:r>
      <w:r>
        <w:rPr>
          <w:rFonts w:ascii="Arial" w:cs="Arial" w:eastAsia="Arial" w:hAnsi="Arial"/>
          <w:b/>
          <w:bCs/>
          <w:color w:val="BF8F00"/>
          <w:sz w:val="20"/>
          <w:szCs w:val="20"/>
        </w:rPr>
        <w:t xml:space="preserve">DRAFT — For Team Discussion</w:t>
      </w:r>
      <w:r>
        <w:rPr>
          <w:rFonts w:ascii="Arial" w:cs="Arial" w:eastAsia="Arial" w:hAnsi="Arial"/>
          <w:color w:val="666666"/>
          <w:sz w:val="20"/>
          <w:szCs w:val="20"/>
        </w:rPr>
        <w:t xml:space="preserve">    |    Prepared by: Data Engineering    |    Date: March 11, 2026</w:t>
      </w:r>
    </w:p>
    <w:p>
      <w:r>
        <w:rPr>
          <w:sz w:val="20"/>
          <w:szCs w:val="20"/>
        </w:rPr>
        <w:t xml:space="preserve"/>
      </w:r>
    </w:p>
    <w:p>
      <w:r>
        <w:rPr>
          <w:sz w:val="20"/>
          <w:szCs w:val="20"/>
        </w:rPr>
        <w:t xml:space="preserve"/>
      </w:r>
    </w:p>
    <w:p>
      <w:pPr>
        <w:pStyle w:val="Heading1"/>
        <w:spacing w:before="360" w:after="120"/>
      </w:pPr>
      <w:r>
        <w:rPr>
          <w:rFonts w:ascii="Arial" w:cs="Arial" w:eastAsia="Arial" w:hAnsi="Arial"/>
          <w:b/>
          <w:bCs/>
          <w:color w:val="1F3864"/>
          <w:sz w:val="32"/>
          <w:szCs w:val="32"/>
        </w:rPr>
        <w:t xml:space="preserve">1. Purpose &amp; Scope</w:t>
      </w:r>
    </w:p>
    <w:p>
      <w:pPr>
        <w:spacing w:after="120"/>
      </w:pPr>
      <w:r>
        <w:rPr>
          <w:rFonts w:ascii="Arial" w:cs="Arial" w:eastAsia="Arial" w:hAnsi="Arial"/>
          <w:sz w:val="20"/>
          <w:szCs w:val="20"/>
        </w:rPr>
        <w:t xml:space="preserve">This document exists to facilitate a structured team discussion about whether and how to implement partitioning in the SimulationsAnalytics SSAS Tabular cube. It is not a decision record — it is a requirements discovery and planning aid.</w:t>
      </w:r>
    </w:p>
    <w:p>
      <w:pPr>
        <w:spacing w:after="120"/>
      </w:pPr>
      <w:r>
        <w:rPr>
          <w:rFonts w:ascii="Arial" w:cs="Arial" w:eastAsia="Arial" w:hAnsi="Arial"/>
          <w:sz w:val="20"/>
          <w:szCs w:val="20"/>
        </w:rPr>
        <w:t xml:space="preserve">The goal is to surface the facts about our current processing model, frame the options clearly, and drive the team toward concrete decisions about scope, strategy, and implementation sequence. Open questions are called out explicitly throughout.</w:t>
      </w:r>
    </w:p>
    <w:p>
      <w:pPr>
        <w:pStyle w:val="Heading2"/>
        <w:spacing w:before="240" w:after="80"/>
      </w:pPr>
      <w:r>
        <w:rPr>
          <w:rFonts w:ascii="Arial" w:cs="Arial" w:eastAsia="Arial" w:hAnsi="Arial"/>
          <w:b/>
          <w:bCs/>
          <w:color w:val="2E75B6"/>
          <w:sz w:val="24"/>
          <w:szCs w:val="24"/>
        </w:rPr>
        <w:t xml:space="preserve">In Scope</w:t>
      </w:r>
    </w:p>
    <w:p>
      <w:pPr>
        <w:pStyle w:val="ListParagraph"/>
        <w:numPr>
          <w:ilvl w:val="0"/>
          <w:numId w:val="2"/>
        </w:numPr>
        <w:spacing w:after="60"/>
        <w:ind w:left="720" w:hanging="360"/>
      </w:pPr>
      <w:r>
        <w:rPr>
          <w:rFonts w:ascii="Arial" w:cs="Arial" w:eastAsia="Arial" w:hAnsi="Arial"/>
          <w:sz w:val="20"/>
          <w:szCs w:val="20"/>
        </w:rPr>
        <w:t xml:space="preserve">SimulationsAnalytics SSAS Tabular database (SQL Server 2022 Analysis Services)</w:t>
      </w:r>
    </w:p>
    <w:p>
      <w:pPr>
        <w:pStyle w:val="ListParagraph"/>
        <w:numPr>
          <w:ilvl w:val="0"/>
          <w:numId w:val="2"/>
        </w:numPr>
        <w:spacing w:after="60"/>
        <w:ind w:left="720" w:hanging="360"/>
      </w:pPr>
      <w:r>
        <w:rPr>
          <w:rFonts w:ascii="Arial" w:cs="Arial" w:eastAsia="Arial" w:hAnsi="Arial"/>
          <w:sz w:val="20"/>
          <w:szCs w:val="20"/>
        </w:rPr>
        <w:t xml:space="preserve">All environments: DEV, QAT, UAT, PRD</w:t>
      </w:r>
    </w:p>
    <w:p>
      <w:pPr>
        <w:pStyle w:val="ListParagraph"/>
        <w:numPr>
          <w:ilvl w:val="0"/>
          <w:numId w:val="2"/>
        </w:numPr>
        <w:spacing w:after="60"/>
        <w:ind w:left="720" w:hanging="360"/>
      </w:pPr>
      <w:r>
        <w:rPr>
          <w:rFonts w:ascii="Arial" w:cs="Arial" w:eastAsia="Arial" w:hAnsi="Arial"/>
          <w:sz w:val="20"/>
          <w:szCs w:val="20"/>
        </w:rPr>
        <w:t xml:space="preserve">Deployment pipeline: SSAS-Deploy.ps1 via TMSL createOrReplace</w:t>
      </w:r>
    </w:p>
    <w:p>
      <w:pPr>
        <w:pStyle w:val="ListParagraph"/>
        <w:numPr>
          <w:ilvl w:val="0"/>
          <w:numId w:val="2"/>
        </w:numPr>
        <w:spacing w:after="60"/>
        <w:ind w:left="720" w:hanging="360"/>
      </w:pPr>
      <w:r>
        <w:rPr>
          <w:rFonts w:ascii="Arial" w:cs="Arial" w:eastAsia="Arial" w:hAnsi="Arial"/>
          <w:sz w:val="20"/>
          <w:szCs w:val="20"/>
        </w:rPr>
        <w:t xml:space="preserve">Processing pipeline: SSAS-Process.ps1 via Invoke-ASCmd</w:t>
      </w:r>
    </w:p>
    <w:p>
      <w:r>
        <w:rPr>
          <w:sz w:val="20"/>
          <w:szCs w:val="20"/>
        </w:rPr>
        <w:t xml:space="preserve"/>
      </w:r>
    </w:p>
    <w:p>
      <w:pPr>
        <w:pStyle w:val="Heading2"/>
        <w:spacing w:before="240" w:after="80"/>
      </w:pPr>
      <w:r>
        <w:rPr>
          <w:rFonts w:ascii="Arial" w:cs="Arial" w:eastAsia="Arial" w:hAnsi="Arial"/>
          <w:b/>
          <w:bCs/>
          <w:color w:val="2E75B6"/>
          <w:sz w:val="24"/>
          <w:szCs w:val="24"/>
        </w:rPr>
        <w:t xml:space="preserve">Out of Scope</w:t>
      </w:r>
    </w:p>
    <w:p>
      <w:pPr>
        <w:pStyle w:val="ListParagraph"/>
        <w:numPr>
          <w:ilvl w:val="0"/>
          <w:numId w:val="2"/>
        </w:numPr>
        <w:spacing w:after="60"/>
        <w:ind w:left="720" w:hanging="360"/>
      </w:pPr>
      <w:r>
        <w:rPr>
          <w:rFonts w:ascii="Arial" w:cs="Arial" w:eastAsia="Arial" w:hAnsi="Arial"/>
          <w:sz w:val="20"/>
          <w:szCs w:val="20"/>
        </w:rPr>
        <w:t xml:space="preserve">SQL Server relational data warehouse (SimulationsAnalytics, SimulationsAnalyticsStage databases)</w:t>
      </w:r>
    </w:p>
    <w:p>
      <w:pPr>
        <w:pStyle w:val="ListParagraph"/>
        <w:numPr>
          <w:ilvl w:val="0"/>
          <w:numId w:val="2"/>
        </w:numPr>
        <w:spacing w:after="60"/>
        <w:ind w:left="720" w:hanging="360"/>
      </w:pPr>
      <w:r>
        <w:rPr>
          <w:rFonts w:ascii="Arial" w:cs="Arial" w:eastAsia="Arial" w:hAnsi="Arial"/>
          <w:sz w:val="20"/>
          <w:szCs w:val="20"/>
        </w:rPr>
        <w:t xml:space="preserve">dbt pipeline logic and staging load patterns</w:t>
      </w:r>
    </w:p>
    <w:p>
      <w:pPr>
        <w:pStyle w:val="ListParagraph"/>
        <w:numPr>
          <w:ilvl w:val="0"/>
          <w:numId w:val="2"/>
        </w:numPr>
        <w:spacing w:after="60"/>
        <w:ind w:left="720" w:hanging="360"/>
      </w:pPr>
      <w:r>
        <w:rPr>
          <w:rFonts w:ascii="Arial" w:cs="Arial" w:eastAsia="Arial" w:hAnsi="Arial"/>
          <w:sz w:val="20"/>
          <w:szCs w:val="20"/>
        </w:rPr>
        <w:t xml:space="preserve">Power BI Desktop model files not connecting through this cube</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2. Current State — Processing Architecture</w:t>
      </w:r>
    </w:p>
    <w:p>
      <w:pPr>
        <w:pStyle w:val="Heading2"/>
        <w:spacing w:before="240" w:after="80"/>
      </w:pPr>
      <w:r>
        <w:rPr>
          <w:rFonts w:ascii="Arial" w:cs="Arial" w:eastAsia="Arial" w:hAnsi="Arial"/>
          <w:b/>
          <w:bCs/>
          <w:color w:val="2E75B6"/>
          <w:sz w:val="24"/>
          <w:szCs w:val="24"/>
        </w:rPr>
        <w:t xml:space="preserve">2.1 How the Cube Is Processed Today</w:t>
      </w:r>
    </w:p>
    <w:p>
      <w:pPr>
        <w:spacing w:after="120"/>
      </w:pPr>
      <w:r>
        <w:rPr>
          <w:rFonts w:ascii="Arial" w:cs="Arial" w:eastAsia="Arial" w:hAnsi="Arial"/>
          <w:sz w:val="20"/>
          <w:szCs w:val="20"/>
        </w:rPr>
        <w:t xml:space="preserve">The cube is processed via a dedicated Azure DevOps pipeline that invokes SSAS-Process.ps1 on a self-hosted build agent. The script uses the SqlServer PowerShell module and Invoke-ASCmd to issue TMSL refresh commands against the Analysis Services instance.</w:t>
      </w:r>
    </w:p>
    <w:p>
      <w:pPr>
        <w:spacing w:after="120"/>
      </w:pPr>
      <w:r>
        <w:rPr>
          <w:rFonts w:ascii="Arial" w:cs="Arial" w:eastAsia="Arial" w:hAnsi="Arial"/>
          <w:sz w:val="20"/>
          <w:szCs w:val="20"/>
        </w:rPr>
        <w:t xml:space="preserve">Processing follows this sequence:</w:t>
      </w:r>
    </w:p>
    <w:p>
      <w:pPr>
        <w:pStyle w:val="ListParagraph"/>
        <w:numPr>
          <w:ilvl w:val="0"/>
          <w:numId w:val="2"/>
        </w:numPr>
        <w:spacing w:after="60"/>
        <w:ind w:left="720" w:hanging="360"/>
      </w:pPr>
      <w:r>
        <w:rPr>
          <w:rFonts w:ascii="Arial" w:cs="Arial" w:eastAsia="Arial" w:hAnsi="Arial"/>
          <w:sz w:val="20"/>
          <w:szCs w:val="20"/>
        </w:rPr>
        <w:t xml:space="preserve">Dimension tables are processed first (sorted by Dim* name prefix) to ensure lookup tables are populated before any fact table that references them</w:t>
      </w:r>
    </w:p>
    <w:p>
      <w:pPr>
        <w:pStyle w:val="ListParagraph"/>
        <w:numPr>
          <w:ilvl w:val="0"/>
          <w:numId w:val="2"/>
        </w:numPr>
        <w:spacing w:after="60"/>
        <w:ind w:left="720" w:hanging="360"/>
      </w:pPr>
      <w:r>
        <w:rPr>
          <w:rFonts w:ascii="Arial" w:cs="Arial" w:eastAsia="Arial" w:hAnsi="Arial"/>
          <w:sz w:val="20"/>
          <w:szCs w:val="20"/>
        </w:rPr>
        <w:t xml:space="preserve">Fact tables are processed second</w:t>
      </w:r>
    </w:p>
    <w:p>
      <w:pPr>
        <w:pStyle w:val="ListParagraph"/>
        <w:numPr>
          <w:ilvl w:val="0"/>
          <w:numId w:val="2"/>
        </w:numPr>
        <w:spacing w:after="60"/>
        <w:ind w:left="720" w:hanging="360"/>
      </w:pPr>
      <w:r>
        <w:rPr>
          <w:rFonts w:ascii="Arial" w:cs="Arial" w:eastAsia="Arial" w:hAnsi="Arial"/>
          <w:sz w:val="20"/>
          <w:szCs w:val="20"/>
        </w:rPr>
        <w:t xml:space="preserve">A single database-level calculate operation is issued after all tables complete</w:t>
      </w:r>
    </w:p>
    <w:p>
      <w:r>
        <w:rPr>
          <w:sz w:val="20"/>
          <w:szCs w:val="20"/>
        </w:rPr>
        <w:t xml:space="preserve"/>
      </w:r>
    </w:p>
    <w:p>
      <w:pPr>
        <w:spacing w:after="120"/>
      </w:pPr>
      <w:r>
        <w:rPr>
          <w:rFonts w:ascii="Arial" w:cs="Arial" w:eastAsia="Arial" w:hAnsi="Arial"/>
          <w:sz w:val="20"/>
          <w:szCs w:val="20"/>
        </w:rPr>
        <w:t xml:space="preserve">The active refresh type used during normal full processing is </w:t>
      </w:r>
      <w:r>
        <w:rPr>
          <w:rFonts w:ascii="Arial" w:cs="Arial" w:eastAsia="Arial" w:hAnsi="Arial"/>
          <w:b/>
          <w:bCs/>
          <w:sz w:val="20"/>
          <w:szCs w:val="20"/>
        </w:rPr>
        <w:t xml:space="preserve">dataOnly</w:t>
      </w:r>
      <w:r>
        <w:rPr>
          <w:rFonts w:ascii="Arial" w:cs="Arial" w:eastAsia="Arial" w:hAnsi="Arial"/>
          <w:sz w:val="20"/>
          <w:szCs w:val="20"/>
        </w:rPr>
        <w:t xml:space="preserve"> per table, followed by a single </w:t>
      </w:r>
      <w:r>
        <w:rPr>
          <w:rFonts w:ascii="Arial" w:cs="Arial" w:eastAsia="Arial" w:hAnsi="Arial"/>
          <w:b/>
          <w:bCs/>
          <w:sz w:val="20"/>
          <w:szCs w:val="20"/>
        </w:rPr>
        <w:t xml:space="preserve">calculate</w:t>
      </w:r>
      <w:r>
        <w:rPr>
          <w:rFonts w:ascii="Arial" w:cs="Arial" w:eastAsia="Arial" w:hAnsi="Arial"/>
          <w:sz w:val="20"/>
          <w:szCs w:val="20"/>
        </w:rPr>
        <w:t xml:space="preserve">. This is an efficient pattern that defers calculation rebuilds to one final pass and minimizes per-table lock time.</w:t>
      </w:r>
    </w:p>
    <w:p>
      <w:pPr>
        <w:pStyle w:val="Heading2"/>
        <w:spacing w:before="240" w:after="80"/>
      </w:pPr>
      <w:r>
        <w:rPr>
          <w:rFonts w:ascii="Arial" w:cs="Arial" w:eastAsia="Arial" w:hAnsi="Arial"/>
          <w:b/>
          <w:bCs/>
          <w:color w:val="2E75B6"/>
          <w:sz w:val="24"/>
          <w:szCs w:val="24"/>
        </w:rPr>
        <w:t xml:space="preserve">2.2 Deployment and the Deploy/Process Separation</w:t>
      </w:r>
    </w:p>
    <w:p>
      <w:pPr>
        <w:spacing w:after="120"/>
      </w:pPr>
      <w:r>
        <w:rPr>
          <w:rFonts w:ascii="Arial" w:cs="Arial" w:eastAsia="Arial" w:hAnsi="Arial"/>
          <w:sz w:val="20"/>
          <w:szCs w:val="20"/>
        </w:rPr>
        <w:t xml:space="preserve">Model metadata (schema, relationships, measures, calculated columns) is deployed via a separate pipeline invoking SSAS-Deploy.ps1. This script builds a TMSL createOrReplace payload from the project's Model.bim and submits it via the XMLA endpoint.</w:t>
      </w:r>
    </w:p>
    <w:p>
      <w:pPr>
        <w:pBdr>
          <w:left w:val="single" w:color="BF8F00" w:sz="10"/>
        </w:pBdr>
        <w:shd w:fill="FFF2CC" w:val="clear"/>
        <w:spacing w:after="120"/>
        <w:ind w:left="360" w:right="360"/>
      </w:pPr>
      <w:r>
        <w:rPr>
          <w:rFonts w:ascii="Arial" w:cs="Arial" w:eastAsia="Arial" w:hAnsi="Arial"/>
          <w:b/>
          <w:bCs/>
          <w:color w:val="BF8F00"/>
          <w:sz w:val="20"/>
          <w:szCs w:val="20"/>
        </w:rPr>
        <w:t xml:space="preserve">Critical: </w:t>
      </w:r>
      <w:r>
        <w:rPr>
          <w:rFonts w:ascii="Arial" w:cs="Arial" w:eastAsia="Arial" w:hAnsi="Arial"/>
          <w:sz w:val="20"/>
          <w:szCs w:val="20"/>
        </w:rPr>
        <w:t xml:space="preserve">createOrReplace at the database level replaces the entire model definition, including partition definitions for every table. After every deployment, all tables revert to a single default partition. Any partition structure we build must be actively reconstructed as part of the deployment process.</w:t>
      </w:r>
    </w:p>
    <w:p>
      <w:pPr>
        <w:pStyle w:val="Heading2"/>
        <w:spacing w:before="240" w:after="80"/>
      </w:pPr>
      <w:r>
        <w:rPr>
          <w:rFonts w:ascii="Arial" w:cs="Arial" w:eastAsia="Arial" w:hAnsi="Arial"/>
          <w:b/>
          <w:bCs/>
          <w:color w:val="2E75B6"/>
          <w:sz w:val="24"/>
          <w:szCs w:val="24"/>
        </w:rPr>
        <w:t xml:space="preserve">2.3 Known Processing Constraints</w:t>
      </w:r>
    </w:p>
    <w:p>
      <w:pPr>
        <w:pStyle w:val="ListParagraph"/>
        <w:numPr>
          <w:ilvl w:val="0"/>
          <w:numId w:val="2"/>
        </w:numPr>
        <w:spacing w:after="60"/>
        <w:ind w:left="720" w:hanging="360"/>
      </w:pPr>
      <w:r>
        <w:rPr>
          <w:rFonts w:ascii="Arial" w:cs="Arial" w:eastAsia="Arial" w:hAnsi="Arial"/>
          <w:sz w:val="20"/>
          <w:szCs w:val="20"/>
        </w:rPr>
        <w:t xml:space="preserve">The built-in processing step within SSAS-Deploy.ps1 has been disabled due to intermittent failures. A separate cube process pipeline handles data load post-deployment.</w:t>
      </w:r>
    </w:p>
    <w:p>
      <w:pPr>
        <w:pStyle w:val="ListParagraph"/>
        <w:numPr>
          <w:ilvl w:val="0"/>
          <w:numId w:val="2"/>
        </w:numPr>
        <w:spacing w:after="60"/>
        <w:ind w:left="720" w:hanging="360"/>
      </w:pPr>
      <w:r>
        <w:rPr>
          <w:rFonts w:ascii="Arial" w:cs="Arial" w:eastAsia="Arial" w:hAnsi="Arial"/>
          <w:sz w:val="20"/>
          <w:szCs w:val="20"/>
        </w:rPr>
        <w:t xml:space="preserve">Processing under the gMSA account context fails from SSMS. Workaround (impersonateServiceAccount) is now patched into the deploy script but remains relevant for ad-hoc partition management.</w:t>
      </w:r>
    </w:p>
    <w:p>
      <w:pPr>
        <w:pStyle w:val="ListParagraph"/>
        <w:numPr>
          <w:ilvl w:val="0"/>
          <w:numId w:val="2"/>
        </w:numPr>
        <w:spacing w:after="60"/>
        <w:ind w:left="720" w:hanging="360"/>
      </w:pPr>
      <w:r>
        <w:rPr>
          <w:rFonts w:ascii="Arial" w:cs="Arial" w:eastAsia="Arial" w:hAnsi="Arial"/>
          <w:sz w:val="20"/>
          <w:szCs w:val="20"/>
        </w:rPr>
        <w:t xml:space="preserve">A separate ADO process pipeline (not the deploy pipeline) is the reliable path for triggering cube processing in all environments.</w:t>
      </w:r>
    </w:p>
    <w:p>
      <w:r>
        <w:rPr>
          <w:sz w:val="20"/>
          <w:szCs w:val="20"/>
        </w:rPr>
        <w:t xml:space="preserve"/>
      </w:r>
    </w:p>
    <w:p>
      <w:pPr>
        <w:pStyle w:val="Heading1"/>
        <w:spacing w:before="360" w:after="120"/>
      </w:pPr>
      <w:r>
        <w:rPr>
          <w:rFonts w:ascii="Arial" w:cs="Arial" w:eastAsia="Arial" w:hAnsi="Arial"/>
          <w:b/>
          <w:bCs/>
          <w:color w:val="1F3864"/>
          <w:sz w:val="32"/>
          <w:szCs w:val="32"/>
        </w:rPr>
        <w:t xml:space="preserve">3. Analysis Services Version &amp; Compatibility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DCE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Property</w:t>
            </w:r>
          </w:p>
        </w:tc>
        <w:tc>
          <w:tcPr>
            <w:tcW w:type="dxa" w:w="6160"/>
            <w:tcBorders>
              <w:top w:val="single" w:color="AAAAAA" w:sz="1"/>
              <w:left w:val="single" w:color="AAAAAA" w:sz="1"/>
              <w:bottom w:val="single" w:color="AAAAAA" w:sz="1"/>
              <w:right w:val="single" w:color="AAAAAA" w:sz="1"/>
            </w:tcBorders>
            <w:shd w:fill="D6DCE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Value</w:t>
            </w:r>
          </w:p>
        </w:tc>
      </w:tr>
      <w:tr>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Analysis Services version</w:t>
            </w:r>
          </w:p>
        </w:tc>
        <w:tc>
          <w:tcPr>
            <w:tcW w:type="dxa" w:w="6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SQL Server 2022 Analysis Services (on-premises)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Tabular compatibility level</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1600</w:t>
            </w:r>
          </w:p>
        </w:tc>
      </w:tr>
      <w:tr>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Model type</w:t>
            </w:r>
          </w:p>
        </w:tc>
        <w:tc>
          <w:tcPr>
            <w:tcW w:type="dxa" w:w="6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Import mode (VertiPaq / xVelocity in-memory engine)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Deployment method</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TMSL createOrReplace via XMLA endpoint</w:t>
            </w:r>
          </w:p>
        </w:tc>
      </w:tr>
      <w:tr>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Processing method</w:t>
            </w:r>
          </w:p>
        </w:tc>
        <w:tc>
          <w:tcPr>
            <w:tcW w:type="dxa" w:w="6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TMSL refresh via Invoke-ASCmd (SqlServer PS module)</w:t>
            </w:r>
          </w:p>
        </w:tc>
      </w:tr>
    </w:tbl>
    <w:p>
      <w:r>
        <w:rPr>
          <w:sz w:val="20"/>
          <w:szCs w:val="20"/>
        </w:rPr>
        <w:t xml:space="preserve"/>
      </w:r>
    </w:p>
    <w:p>
      <w:pPr>
        <w:spacing w:after="120"/>
      </w:pPr>
      <w:r>
        <w:rPr>
          <w:rFonts w:ascii="Arial" w:cs="Arial" w:eastAsia="Arial" w:hAnsi="Arial"/>
          <w:sz w:val="20"/>
          <w:szCs w:val="20"/>
        </w:rPr>
        <w:t xml:space="preserve">Compatibility level 1600 (SQL Server 2022) is fully capable of supporting all partitioning patterns described in this document. Key notes:</w:t>
      </w:r>
    </w:p>
    <w:p>
      <w:pPr>
        <w:pStyle w:val="ListParagraph"/>
        <w:numPr>
          <w:ilvl w:val="0"/>
          <w:numId w:val="2"/>
        </w:numPr>
        <w:spacing w:after="60"/>
        <w:ind w:left="720" w:hanging="360"/>
      </w:pPr>
      <w:r>
        <w:rPr>
          <w:rFonts w:ascii="Arial" w:cs="Arial" w:eastAsia="Arial" w:hAnsi="Arial"/>
          <w:sz w:val="20"/>
          <w:szCs w:val="20"/>
        </w:rPr>
        <w:t xml:space="preserve">Full TMSL partition management (create, alter, delete named partitions) is supported at all tabular levels 1200+</w:t>
      </w:r>
    </w:p>
    <w:p>
      <w:pPr>
        <w:pStyle w:val="ListParagraph"/>
        <w:numPr>
          <w:ilvl w:val="0"/>
          <w:numId w:val="2"/>
        </w:numPr>
        <w:spacing w:after="60"/>
        <w:ind w:left="720" w:hanging="360"/>
      </w:pPr>
      <w:r>
        <w:rPr>
          <w:rFonts w:ascii="Arial" w:cs="Arial" w:eastAsia="Arial" w:hAnsi="Arial"/>
          <w:sz w:val="20"/>
          <w:szCs w:val="20"/>
        </w:rPr>
        <w:t xml:space="preserve">Calculation groups (available at 1500+) remain unaffected by partitioning — no compatibility risk</w:t>
      </w:r>
    </w:p>
    <w:p>
      <w:pPr>
        <w:pStyle w:val="ListParagraph"/>
        <w:numPr>
          <w:ilvl w:val="0"/>
          <w:numId w:val="2"/>
        </w:numPr>
        <w:spacing w:after="60"/>
        <w:ind w:left="720" w:hanging="360"/>
      </w:pPr>
      <w:r>
        <w:rPr>
          <w:rFonts w:ascii="Arial" w:cs="Arial" w:eastAsia="Arial" w:hAnsi="Arial"/>
          <w:sz w:val="20"/>
          <w:szCs w:val="20"/>
        </w:rPr>
        <w:t xml:space="preserve">No compatibility level change is required to implement any strategy described here</w:t>
      </w:r>
    </w:p>
    <w:p>
      <w:pPr>
        <w:pStyle w:val="ListParagraph"/>
        <w:numPr>
          <w:ilvl w:val="0"/>
          <w:numId w:val="2"/>
        </w:numPr>
        <w:spacing w:after="60"/>
        <w:ind w:left="720" w:hanging="360"/>
      </w:pPr>
      <w:r>
        <w:rPr>
          <w:rFonts w:ascii="Arial" w:cs="Arial" w:eastAsia="Arial" w:hAnsi="Arial"/>
          <w:sz w:val="20"/>
          <w:szCs w:val="20"/>
        </w:rPr>
        <w:t xml:space="preserve">Incremental Refresh Policy (Microsoft's automated partitioning feature) requires Power BI Premium / Fabric and is not applicable to our on-premises AS instance — we will manage partitions explicitly via TMSL scripts</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4. Table Inventory — UAT / PRD Row Counts</w:t>
      </w:r>
    </w:p>
    <w:p>
      <w:pPr>
        <w:spacing w:after="120"/>
      </w:pPr>
      <w:r>
        <w:rPr>
          <w:rFonts w:ascii="Arial" w:cs="Arial" w:eastAsia="Arial" w:hAnsi="Arial"/>
          <w:sz w:val="20"/>
          <w:szCs w:val="20"/>
        </w:rPr>
        <w:t xml:space="preserve">Row counts below are sourced from UAT, which shares the same data source as PRD and includes mart tables not yet promoted to PRD. All tables currently operate with a single default partition.</w:t>
      </w:r>
    </w:p>
    <w:p>
      <w:pPr>
        <w:spacing w:after="120"/>
      </w:pPr>
      <w:r>
        <w:rPr>
          <w:rFonts w:ascii="Arial" w:cs="Arial" w:eastAsia="Arial" w:hAnsi="Arial"/>
          <w:sz w:val="20"/>
          <w:szCs w:val="20"/>
        </w:rPr>
        <w:t xml:space="preserve">Shading key:  </w:t>
      </w:r>
      <w:r>
        <w:rPr>
          <w:rFonts w:ascii="Arial" w:cs="Arial" w:eastAsia="Arial" w:hAnsi="Arial"/>
          <w:sz w:val="20"/>
          <w:szCs w:val="20"/>
          <w:highlight w:val="green"/>
          <w:highlightCs w:val="green"/>
        </w:rPr>
        <w:t xml:space="preserve">  YES — Priority  </w:t>
      </w:r>
      <w:r>
        <w:rPr>
          <w:rFonts w:ascii="Arial" w:cs="Arial" w:eastAsia="Arial" w:hAnsi="Arial"/>
          <w:sz w:val="20"/>
          <w:szCs w:val="20"/>
        </w:rPr>
        <w:t xml:space="preserve"> ≥ 1M rows    </w:t>
      </w:r>
      <w:r>
        <w:rPr>
          <w:rFonts w:ascii="Arial" w:cs="Arial" w:eastAsia="Arial" w:hAnsi="Arial"/>
          <w:sz w:val="20"/>
          <w:szCs w:val="20"/>
          <w:highlight w:val="yellow"/>
          <w:highlightCs w:val="yellow"/>
        </w:rPr>
        <w:t xml:space="preserve">  YES — Consider  </w:t>
      </w:r>
      <w:r>
        <w:rPr>
          <w:rFonts w:ascii="Arial" w:cs="Arial" w:eastAsia="Arial" w:hAnsi="Arial"/>
          <w:sz w:val="20"/>
          <w:szCs w:val="20"/>
        </w:rPr>
        <w:t xml:space="preserve"> ≥ 500K rows    </w:t>
      </w:r>
      <w:r>
        <w:rPr>
          <w:rFonts w:ascii="Arial" w:cs="Arial" w:eastAsia="Arial" w:hAnsi="Arial"/>
          <w:sz w:val="20"/>
          <w:szCs w:val="20"/>
        </w:rPr>
        <w:t xml:space="preserve">  Low Priority  </w:t>
      </w:r>
      <w:r>
        <w:rPr>
          <w:rFonts w:ascii="Arial" w:cs="Arial" w:eastAsia="Arial" w:hAnsi="Arial"/>
          <w:sz w:val="20"/>
          <w:szCs w:val="20"/>
        </w:rPr>
        <w:t xml:space="preserve"> ≥ 100K rows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1400"/>
        <w:gridCol w:w="1800"/>
        <w:gridCol w:w="156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 (UAT/PRD)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Partition Candidate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DimACCircular</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107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DimActivityNoteType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DimBudgetHierarchy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92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DimDate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73,049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DimDepartment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449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DimDepartmentGroup</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564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DimIssuePriority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DimIssueTrainingCategory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DimLocation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387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DimProject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22,900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DimQualificationAgency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DimQualificationLevel</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DimRootCause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1,937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DimSimulatorConfiguration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1,632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DimSimulatorConfigurationComponent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4,870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DimSimulatorConfigurationComponentType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1,278,155</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DimSimulatorIssueActivityNote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10,405,243</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DimSimulatorIssueCategory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DimSimulatorIssueClassification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DimSimulatorIssueStatus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DimSimulatorQualification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1,963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DimSysGroup</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DimSystem</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99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DimTime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86,401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DimTimesheetChargeCode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2,294,697</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DimTimesheetTimeType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DimUser</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8,192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FactCurrentCycleProjectCostEstimate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34,752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FactProjectBudget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5,478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FactProjectCostEstimate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3,866,890</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FactSimulatorConfiguration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1,943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FactSimulatorConfigurationComponent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17,976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FactSimulatorConfigurationSubComponent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18,364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FactSimulatorIssueActivity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8,981,713</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FactSimulatorIssueAssignment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3,147,364</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FactSimulatorIssueDetail</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1,278,160</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FactSimulatorIssueStatus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1,851,045</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FactSimulatorLocation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2,072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FactSimulatorQualification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1,962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FactTimesheet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12,579,348</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bl>
    <w:p>
      <w:r>
        <w:rPr>
          <w:sz w:val="20"/>
          <w:szCs w:val="20"/>
        </w:rPr>
        <w:t xml:space="preserve"/>
      </w:r>
    </w:p>
    <w:p>
      <w:pPr>
        <w:pStyle w:val="Heading2"/>
        <w:spacing w:before="240" w:after="80"/>
      </w:pPr>
      <w:r>
        <w:rPr>
          <w:rFonts w:ascii="Arial" w:cs="Arial" w:eastAsia="Arial" w:hAnsi="Arial"/>
          <w:b/>
          <w:bCs/>
          <w:color w:val="2E75B6"/>
          <w:sz w:val="24"/>
          <w:szCs w:val="24"/>
        </w:rPr>
        <w:t xml:space="preserve">4.1 Notable Observations</w:t>
      </w:r>
    </w:p>
    <w:p>
      <w:pPr>
        <w:spacing w:after="120"/>
      </w:pPr>
      <w:r>
        <w:rPr>
          <w:rFonts w:ascii="Arial" w:cs="Arial" w:eastAsia="Arial" w:hAnsi="Arial"/>
          <w:sz w:val="20"/>
          <w:szCs w:val="20"/>
        </w:rPr>
        <w:t xml:space="preserve">Several tables prefixed Dim are not small reference tables in practice — they are large, transactional in nature, and behave under processing load similarly to fact tables:</w:t>
      </w:r>
    </w:p>
    <w:p>
      <w:pPr>
        <w:pStyle w:val="ListParagraph"/>
        <w:numPr>
          <w:ilvl w:val="0"/>
          <w:numId w:val="2"/>
        </w:numPr>
        <w:spacing w:after="60"/>
        <w:ind w:left="720" w:hanging="360"/>
      </w:pPr>
      <w:r>
        <w:rPr>
          <w:rFonts w:ascii="Arial" w:cs="Arial" w:eastAsia="Arial" w:hAnsi="Arial"/>
          <w:sz w:val="20"/>
          <w:szCs w:val="20"/>
        </w:rPr>
        <w:t xml:space="preserve">DimSimulatorIssueActivityNote — 10.4M rows. The largest table in the model by a wide margin. Despite its Dim prefix this table is transactional/append-heavy and a first-tier partitioning priority.</w:t>
      </w:r>
    </w:p>
    <w:p>
      <w:pPr>
        <w:pStyle w:val="ListParagraph"/>
        <w:numPr>
          <w:ilvl w:val="0"/>
          <w:numId w:val="2"/>
        </w:numPr>
        <w:spacing w:after="60"/>
        <w:ind w:left="720" w:hanging="360"/>
      </w:pPr>
      <w:r>
        <w:rPr>
          <w:rFonts w:ascii="Arial" w:cs="Arial" w:eastAsia="Arial" w:hAnsi="Arial"/>
          <w:sz w:val="20"/>
          <w:szCs w:val="20"/>
        </w:rPr>
        <w:t xml:space="preserve">DimSimulatorIssue — 1.28M rows. Substantial issue-tracking dimension; partition candidate.</w:t>
      </w:r>
    </w:p>
    <w:p>
      <w:pPr>
        <w:pStyle w:val="ListParagraph"/>
        <w:numPr>
          <w:ilvl w:val="0"/>
          <w:numId w:val="2"/>
        </w:numPr>
        <w:spacing w:after="60"/>
        <w:ind w:left="720" w:hanging="360"/>
      </w:pPr>
      <w:r>
        <w:rPr>
          <w:rFonts w:ascii="Arial" w:cs="Arial" w:eastAsia="Arial" w:hAnsi="Arial"/>
          <w:sz w:val="20"/>
          <w:szCs w:val="20"/>
        </w:rPr>
        <w:t xml:space="preserve">DimTimesheetChargeCode — 2.29M rows. Large reference-style dim; evaluate whether date key is available for partitioning.</w:t>
      </w:r>
    </w:p>
    <w:p>
      <w:pPr>
        <w:spacing w:after="120"/>
      </w:pPr>
      <w:r>
        <w:rPr>
          <w:rFonts w:ascii="Arial" w:cs="Arial" w:eastAsia="Arial" w:hAnsi="Arial"/>
          <w:sz w:val="20"/>
          <w:szCs w:val="20"/>
        </w:rPr>
        <w:t xml:space="preserve">The largest true fact tables are:</w:t>
      </w:r>
    </w:p>
    <w:p>
      <w:pPr>
        <w:pStyle w:val="ListParagraph"/>
        <w:numPr>
          <w:ilvl w:val="0"/>
          <w:numId w:val="2"/>
        </w:numPr>
        <w:spacing w:after="60"/>
        <w:ind w:left="720" w:hanging="360"/>
      </w:pPr>
      <w:r>
        <w:rPr>
          <w:rFonts w:ascii="Arial" w:cs="Arial" w:eastAsia="Arial" w:hAnsi="Arial"/>
          <w:sz w:val="20"/>
          <w:szCs w:val="20"/>
        </w:rPr>
        <w:t xml:space="preserve">FactTimesheet — 12.6M rows. Highest-volume fact table.</w:t>
      </w:r>
    </w:p>
    <w:p>
      <w:pPr>
        <w:pStyle w:val="ListParagraph"/>
        <w:numPr>
          <w:ilvl w:val="0"/>
          <w:numId w:val="2"/>
        </w:numPr>
        <w:spacing w:after="60"/>
        <w:ind w:left="720" w:hanging="360"/>
      </w:pPr>
      <w:r>
        <w:rPr>
          <w:rFonts w:ascii="Arial" w:cs="Arial" w:eastAsia="Arial" w:hAnsi="Arial"/>
          <w:sz w:val="20"/>
          <w:szCs w:val="20"/>
        </w:rPr>
        <w:t xml:space="preserve">FactSimulatorIssueActivity — 9.0M rows. Second largest.</w:t>
      </w:r>
    </w:p>
    <w:p>
      <w:pPr>
        <w:pStyle w:val="ListParagraph"/>
        <w:numPr>
          <w:ilvl w:val="0"/>
          <w:numId w:val="2"/>
        </w:numPr>
        <w:spacing w:after="60"/>
        <w:ind w:left="720" w:hanging="360"/>
      </w:pPr>
      <w:r>
        <w:rPr>
          <w:rFonts w:ascii="Arial" w:cs="Arial" w:eastAsia="Arial" w:hAnsi="Arial"/>
          <w:sz w:val="20"/>
          <w:szCs w:val="20"/>
        </w:rPr>
        <w:t xml:space="preserve">FactProjectCostEstimate — 3.9M rows. Significant volume; strong candidate.</w:t>
      </w:r>
    </w:p>
    <w:p>
      <w:pPr>
        <w:pStyle w:val="ListParagraph"/>
        <w:numPr>
          <w:ilvl w:val="0"/>
          <w:numId w:val="2"/>
        </w:numPr>
        <w:spacing w:after="60"/>
        <w:ind w:left="720" w:hanging="360"/>
      </w:pPr>
      <w:r>
        <w:rPr>
          <w:rFonts w:ascii="Arial" w:cs="Arial" w:eastAsia="Arial" w:hAnsi="Arial"/>
          <w:sz w:val="20"/>
          <w:szCs w:val="20"/>
        </w:rPr>
        <w:t xml:space="preserve">FactSimulatorIssueAssignment — 3.1M rows. Candidate.</w:t>
      </w:r>
    </w:p>
    <w:p>
      <w:pPr>
        <w:pStyle w:val="ListParagraph"/>
        <w:numPr>
          <w:ilvl w:val="0"/>
          <w:numId w:val="2"/>
        </w:numPr>
        <w:spacing w:after="60"/>
        <w:ind w:left="720" w:hanging="360"/>
      </w:pPr>
      <w:r>
        <w:rPr>
          <w:rFonts w:ascii="Arial" w:cs="Arial" w:eastAsia="Arial" w:hAnsi="Arial"/>
          <w:sz w:val="20"/>
          <w:szCs w:val="20"/>
        </w:rPr>
        <w:t xml:space="preserve">FactSimulatorIssueStatus — 1.85M rows. Candidate.</w:t>
      </w:r>
    </w:p>
    <w:p>
      <w:pPr>
        <w:spacing w:after="120"/>
      </w:pPr>
      <w:r>
        <w:rPr>
          <w:rFonts w:ascii="Arial" w:cs="Arial" w:eastAsia="Arial" w:hAnsi="Arial"/>
          <w:b/>
          <w:bCs/>
          <w:sz w:val="20"/>
          <w:szCs w:val="20"/>
        </w:rPr>
        <w:t xml:space="preserve">Combined, the nine tables at or above 1M rows account for the overwhelming majority of the model's data volume and processing time. </w:t>
      </w:r>
      <w:r>
        <w:rPr>
          <w:rFonts w:ascii="Arial" w:cs="Arial" w:eastAsia="Arial" w:hAnsi="Arial"/>
          <w:sz w:val="20"/>
          <w:szCs w:val="20"/>
        </w:rPr>
        <w:t xml:space="preserve">Targeting these nine tables covers the realistic upside from partitioning. All remaining tables are small enough that full reprocessing is negligible.</w:t>
      </w:r>
    </w:p>
    <w:p>
      <w:r>
        <w:rPr>
          <w:sz w:val="20"/>
          <w:szCs w:val="20"/>
        </w:rPr>
        <w:t xml:space="preserve"/>
      </w:r>
    </w:p>
    <w:p>
      <w:pPr>
        <w:pStyle w:val="Heading2"/>
        <w:spacing w:before="240" w:after="80"/>
      </w:pPr>
      <w:r>
        <w:rPr>
          <w:rFonts w:ascii="Arial" w:cs="Arial" w:eastAsia="Arial" w:hAnsi="Arial"/>
          <w:b/>
          <w:bCs/>
          <w:color w:val="2E75B6"/>
          <w:sz w:val="24"/>
          <w:szCs w:val="24"/>
        </w:rPr>
        <w:t xml:space="preserve">4.2 DMV Queries — Use to Verify Counts and Partition State</w:t>
      </w:r>
    </w:p>
    <w:p>
      <w:pPr>
        <w:spacing w:after="120"/>
      </w:pPr>
      <w:r>
        <w:rPr>
          <w:rFonts w:ascii="Arial" w:cs="Arial" w:eastAsia="Arial" w:hAnsi="Arial"/>
          <w:sz w:val="20"/>
          <w:szCs w:val="20"/>
        </w:rPr>
        <w:t xml:space="preserve">Run these in SSMS connected to the Analysis Services instance (not SQL Server relational):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Table-level row counts and last process date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[DIMENSION_NAME] AS TableName, [LAST_DATA_UPDATE] AS LastProcessed, [DIMENSION_ROWS]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$SYSTEM.MDSCHEMA_DIMENSIONS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[DIMENSION_CAPTION] &lt;&gt; 'Measures'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[DIMENSION_ROWS] DESC;</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Partition-level detail for any table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[OBJECT_PARENT_NAME] AS TableName, [OBJECT_NAME] AS PartitionName,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[ROWS_COUNT] AS RowCount, [CREATED_TIMESTAMP] AS Created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$SYSTEM.DISCOVER_STORAGE_TABLE_COLUMN_SEGMENTS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[OBJECT_TYPE] = 'TABLE_PARTITION'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TableName, PartitionName;</w:t>
      </w:r>
    </w:p>
    <w:p>
      <w:r>
        <w:rPr>
          <w:sz w:val="20"/>
          <w:szCs w:val="20"/>
        </w:rPr>
        <w:t xml:space="preserve"/>
      </w:r>
    </w:p>
    <w:p>
      <w:pPr>
        <w:pStyle w:val="Heading2"/>
        <w:spacing w:before="240" w:after="80"/>
      </w:pPr>
      <w:r>
        <w:rPr>
          <w:rFonts w:ascii="Arial" w:cs="Arial" w:eastAsia="Arial" w:hAnsi="Arial"/>
          <w:b/>
          <w:bCs/>
          <w:color w:val="2E75B6"/>
          <w:sz w:val="24"/>
          <w:szCs w:val="24"/>
        </w:rPr>
        <w:t xml:space="preserve">4.3 FactTimesheet — Year-by-Year Deep Dive</w:t>
      </w:r>
    </w:p>
    <w:p>
      <w:pPr>
        <w:spacing w:after="120"/>
      </w:pPr>
      <w:r>
        <w:rPr>
          <w:rFonts w:ascii="Arial" w:cs="Arial" w:eastAsia="Arial" w:hAnsi="Arial"/>
          <w:sz w:val="20"/>
          <w:szCs w:val="20"/>
        </w:rPr>
        <w:t xml:space="preserve">FactTimesheet is the highest-volume table in the model at 12,579,348 rows. Row counts by year from UAT/PRD are provided below. This table is the recommended prototype target for the initial partition implementation — it is the clearest case for partitioning both by volume and by the even distribution of data across years.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60"/>
        <w:gridCol w:w="3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Partition Tier</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(relative)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176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104,736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230,233</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293,110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397,181</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2006</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393,742</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438,799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2008</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472,478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437,567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485,662</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537,170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567,569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613,004</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622,478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693,731</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2016</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773,177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662,846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2018</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583,119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535,000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491,618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518,537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642,461</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667,225</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671,696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2025</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631,720</w:t>
            </w:r>
          </w:p>
        </w:tc>
        <w:tc>
          <w:tcPr>
            <w:tcW w:type="dxa" w:w="25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6"/>
                <w:szCs w:val="16"/>
              </w:rPr>
              <w:t xml:space="preserve">ACTIVE — Previous Year</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2026</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114,313</w:t>
            </w:r>
          </w:p>
        </w:tc>
        <w:tc>
          <w:tcPr>
            <w:tcW w:type="dxa" w:w="256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ACTIVE — Current Year</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w:t>
            </w:r>
          </w:p>
        </w:tc>
      </w:tr>
    </w:tbl>
    <w:p>
      <w:r>
        <w:rPr>
          <w:sz w:val="20"/>
          <w:szCs w:val="20"/>
        </w:rPr>
        <w:t xml:space="preserve"/>
      </w:r>
    </w:p>
    <w:p>
      <w:pPr>
        <w:spacing w:after="120"/>
      </w:pPr>
      <w:r>
        <w:rPr>
          <w:rFonts w:ascii="Arial" w:cs="Arial" w:eastAsia="Arial" w:hAnsi="Arial"/>
          <w:sz w:val="20"/>
          <w:szCs w:val="20"/>
        </w:rPr>
        <w:t xml:space="preserve">Key observations from this data:</w:t>
      </w:r>
    </w:p>
    <w:p>
      <w:pPr>
        <w:pStyle w:val="ListParagraph"/>
        <w:numPr>
          <w:ilvl w:val="0"/>
          <w:numId w:val="2"/>
        </w:numPr>
        <w:spacing w:after="60"/>
        <w:ind w:left="720" w:hanging="360"/>
      </w:pPr>
      <w:r>
        <w:rPr>
          <w:rFonts w:ascii="Arial" w:cs="Arial" w:eastAsia="Arial" w:hAnsi="Arial"/>
          <w:sz w:val="20"/>
          <w:szCs w:val="20"/>
        </w:rPr>
        <w:t xml:space="preserve">Data goes back to year 2000 (176 rows — likely seed/test data or a single partial-year load). Year 2001 has no rows — a gap to verify.</w:t>
      </w:r>
    </w:p>
    <w:p>
      <w:pPr>
        <w:pStyle w:val="ListParagraph"/>
        <w:numPr>
          <w:ilvl w:val="0"/>
          <w:numId w:val="2"/>
        </w:numPr>
        <w:spacing w:after="60"/>
        <w:ind w:left="720" w:hanging="360"/>
      </w:pPr>
      <w:r>
        <w:rPr>
          <w:rFonts w:ascii="Arial" w:cs="Arial" w:eastAsia="Arial" w:hAnsi="Arial"/>
          <w:sz w:val="20"/>
          <w:szCs w:val="20"/>
        </w:rPr>
        <w:t xml:space="preserve">Consistent growth from 2002 through 2016, peaking at 773,177 rows in 2016. Volumes have moderated since but remain substantial at 600,000–670,000 rows per year through 2024.</w:t>
      </w:r>
    </w:p>
    <w:p>
      <w:pPr>
        <w:pStyle w:val="ListParagraph"/>
        <w:numPr>
          <w:ilvl w:val="0"/>
          <w:numId w:val="2"/>
        </w:numPr>
        <w:spacing w:after="60"/>
        <w:ind w:left="720" w:hanging="360"/>
      </w:pPr>
      <w:r>
        <w:rPr>
          <w:rFonts w:ascii="Arial" w:cs="Arial" w:eastAsia="Arial" w:hAnsi="Arial"/>
          <w:sz w:val="20"/>
          <w:szCs w:val="20"/>
        </w:rPr>
        <w:t xml:space="preserve">2025 is the Previous Year (Active) partition — 631,720 rows currently, likely to see late arrivals and corrections for several months into 2026.</w:t>
      </w:r>
    </w:p>
    <w:p>
      <w:pPr>
        <w:pStyle w:val="ListParagraph"/>
        <w:numPr>
          <w:ilvl w:val="0"/>
          <w:numId w:val="2"/>
        </w:numPr>
        <w:spacing w:after="60"/>
        <w:ind w:left="720" w:hanging="360"/>
      </w:pPr>
      <w:r>
        <w:rPr>
          <w:rFonts w:ascii="Arial" w:cs="Arial" w:eastAsia="Arial" w:hAnsi="Arial"/>
          <w:sz w:val="20"/>
          <w:szCs w:val="20"/>
        </w:rPr>
        <w:t xml:space="preserve">2026 is the Current Year (Active) partition — 114,313 rows as of the UAT snapshot, growing daily.</w:t>
      </w:r>
    </w:p>
    <w:p>
      <w:pPr>
        <w:pStyle w:val="ListParagraph"/>
        <w:numPr>
          <w:ilvl w:val="0"/>
          <w:numId w:val="2"/>
        </w:numPr>
        <w:spacing w:after="60"/>
        <w:ind w:left="720" w:hanging="360"/>
      </w:pPr>
      <w:r>
        <w:rPr>
          <w:rFonts w:ascii="Arial" w:cs="Arial" w:eastAsia="Arial" w:hAnsi="Arial"/>
          <w:sz w:val="20"/>
          <w:szCs w:val="20"/>
        </w:rPr>
        <w:t xml:space="preserve">Initial partition setup will require processing 26 year partitions (2000–2026) plus a Catch-All. This is a one-time operation best executed in a maintenance window.</w:t>
      </w:r>
    </w:p>
    <w:p>
      <w:pPr>
        <w:pStyle w:val="ListParagraph"/>
        <w:numPr>
          <w:ilvl w:val="0"/>
          <w:numId w:val="2"/>
        </w:numPr>
        <w:spacing w:after="60"/>
        <w:ind w:left="720" w:hanging="360"/>
      </w:pPr>
      <w:r>
        <w:rPr>
          <w:rFonts w:ascii="Arial" w:cs="Arial" w:eastAsia="Arial" w:hAnsi="Arial"/>
          <w:sz w:val="20"/>
          <w:szCs w:val="20"/>
        </w:rPr>
        <w:t xml:space="preserve">The 24 frozen partitions (2000–2024) collectively hold approximately 11.8M rows. These will never be reprocessed on routine runs, removing the vast majority of data movement from the daily pipeline.</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4.4 Fact Table Relationships &amp; Partition Key Analysis</w:t>
      </w:r>
    </w:p>
    <w:p>
      <w:pPr>
        <w:spacing w:after="120"/>
      </w:pPr>
      <w:r>
        <w:rPr>
          <w:rFonts w:ascii="Arial" w:cs="Arial" w:eastAsia="Arial" w:hAnsi="Arial"/>
          <w:sz w:val="20"/>
          <w:szCs w:val="20"/>
        </w:rPr>
        <w:t xml:space="preserve">The table below documents the DimDate foreign key relationships for each fact table candidate, the recommended partition key, the rationale for that choice, and the pre-meeting investigation required. This was derived from a foreign key query against the SimulationsAnalytics relational database.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Fact Table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DimDate FK(s)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 Partition Key</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 &amp; Risk</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FactTimesheet</w:t>
            </w:r>
          </w:p>
        </w:tc>
        <w:tc>
          <w:tcPr>
            <w:tcW w:type="dxa" w:w="2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DateKey
(_Date)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DateKey</w:t>
            </w:r>
          </w:p>
        </w:tc>
        <w:tc>
          <w:tcPr>
            <w:tcW w:type="dxa" w:w="2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Single unambiguous FK to DimDate. No decision required.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FactSimulatorIssueActivity</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ActivityNoteCreatedDateKey
(_ActivityNoteCreatedDate)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ActivityNoteCreatedDateKey</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Natural event date for the activity. Only date FK on this table.</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FactProjectCostEstimate</w:t>
            </w:r>
          </w:p>
        </w:tc>
        <w:tc>
          <w:tcPr>
            <w:tcW w:type="dxa" w:w="2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AccountingPeriodDateKey (_AccountingPeriod)
CreateDateKey (_CreateDate)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AccountingPeriodDateKey</w:t>
            </w:r>
          </w:p>
        </w:tc>
        <w:tc>
          <w:tcPr>
            <w:tcW w:type="dxa" w:w="2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Reports filter by accounting period. Risk: retroactive entries may populate frozen partitions — verify distribution of both keys before committing.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FactSimulatorIssueAssignment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StartDateKey (_IssueAssignmentSt...)
EndDateKey (_IssueAssignmentEn...)</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Assignment StartDateKey</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Start date is immutable at record creation. End date can be NULL (open assignments) or updated — both disqualify it as a partition key.</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FactSimulatorIssueStatus</w:t>
            </w:r>
          </w:p>
        </w:tc>
        <w:tc>
          <w:tcPr>
            <w:tcW w:type="dxa" w:w="2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IssueCreateDateKey (_IssueCreateDate)
StatusStartDateKey (_StatusStartDate)
StatusEndDateKey (_StatusEndDate)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StatusStartDateKey</w:t>
            </w:r>
          </w:p>
        </w:tc>
        <w:tc>
          <w:tcPr>
            <w:tcW w:type="dxa" w:w="2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Event date for this status record. IssueCreateDate would misroute recent status changes to old partitions. StatusEndDate is nullable.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FactSimulatorIssueDetail</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IssueCreatedDateKey (_IssueCreatedDate)
IssueDateKey (_IssueDate)
IssueClosedDateKey (_IssueClosedDate)
IssueDueDateKey (_IssueDueDate)
IssueModifiedDateKey (_IssueModifiedDate)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IssueCreatedDateKey</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Immutable at record creation, always populated. Other keys are nullable (Closed, Due) or volatile (Modified), making them unsuitable for stable frozen partitions.</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8"/>
                <w:szCs w:val="18"/>
              </w:rPr>
              <w:t xml:space="preserve">FactSimulatorConfiguration
FactSimulatorConfiguration
Component
FactSimulatorConfiguration
SubComponent</w:t>
            </w:r>
          </w:p>
        </w:tc>
        <w:tc>
          <w:tcPr>
            <w:tcW w:type="dxa" w:w="26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6"/>
                <w:szCs w:val="16"/>
              </w:rPr>
              <w:t xml:space="preserve">AsOfDateKey
(_AsOfDate)</w:t>
            </w:r>
          </w:p>
        </w:tc>
        <w:tc>
          <w:tcPr>
            <w:tcW w:type="dxa" w:w="20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DROP — too small</w:t>
            </w:r>
          </w:p>
        </w:tc>
        <w:tc>
          <w:tcPr>
            <w:tcW w:type="dxa" w:w="23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999999"/>
                <w:sz w:val="15"/>
                <w:szCs w:val="15"/>
              </w:rPr>
              <w:t xml:space="preserve">1,943 / 17,976 / 18,364 rows respectively. Partitioning overhead not justified. Revisit if volume grows.</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8"/>
                <w:szCs w:val="18"/>
              </w:rPr>
              <w:t xml:space="preserve">FactSimulatorLocation</w:t>
            </w:r>
          </w:p>
        </w:tc>
        <w:tc>
          <w:tcPr>
            <w:tcW w:type="dxa" w:w="26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6"/>
                <w:szCs w:val="16"/>
              </w:rPr>
              <w:t xml:space="preserve">None — no DimDate FK</w:t>
            </w:r>
          </w:p>
        </w:tc>
        <w:tc>
          <w:tcPr>
            <w:tcW w:type="dxa" w:w="20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DROP — no date key</w:t>
            </w:r>
          </w:p>
        </w:tc>
        <w:tc>
          <w:tcPr>
            <w:tcW w:type="dxa" w:w="23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999999"/>
                <w:sz w:val="15"/>
                <w:szCs w:val="15"/>
              </w:rPr>
              <w:t xml:space="preserve">2,072 rows. No date dimension relationship exists. Cannot partition by date.</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8"/>
                <w:szCs w:val="18"/>
              </w:rPr>
              <w:t xml:space="preserve">FactSimulatorQualification</w:t>
            </w:r>
          </w:p>
        </w:tc>
        <w:tc>
          <w:tcPr>
            <w:tcW w:type="dxa" w:w="26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6"/>
                <w:szCs w:val="16"/>
              </w:rPr>
              <w:t xml:space="preserve">7 DimDate FKs
(EffectiveStart/End, Initial,
ProcessStart, CreateDate,
LastModified, ScheduledRenewal)</w:t>
            </w:r>
          </w:p>
        </w:tc>
        <w:tc>
          <w:tcPr>
            <w:tcW w:type="dxa" w:w="20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DROP — too small</w:t>
            </w:r>
          </w:p>
        </w:tc>
        <w:tc>
          <w:tcPr>
            <w:tcW w:type="dxa" w:w="23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999999"/>
                <w:sz w:val="15"/>
                <w:szCs w:val="15"/>
              </w:rPr>
              <w:t xml:space="preserve">1,962 rows. Despite having multiple date keys, volume does not justify partitioning complexity.</w:t>
            </w:r>
          </w:p>
        </w:tc>
      </w:tr>
    </w:tbl>
    <w:p>
      <w:r>
        <w:rPr>
          <w:sz w:val="20"/>
          <w:szCs w:val="20"/>
        </w:rPr>
        <w:t xml:space="preserve"/>
      </w:r>
    </w:p>
    <w:p>
      <w:pPr>
        <w:pStyle w:val="Heading2"/>
        <w:spacing w:before="240" w:after="80"/>
      </w:pPr>
      <w:r>
        <w:rPr>
          <w:rFonts w:ascii="Arial" w:cs="Arial" w:eastAsia="Arial" w:hAnsi="Arial"/>
          <w:b/>
          <w:bCs/>
          <w:color w:val="2E75B6"/>
          <w:sz w:val="24"/>
          <w:szCs w:val="24"/>
        </w:rPr>
        <w:t xml:space="preserve">4.4.1 Candidate Priority Summary</w:t>
      </w:r>
    </w:p>
    <w:p>
      <w:pPr>
        <w:spacing w:after="120"/>
      </w:pPr>
      <w:r>
        <w:rPr>
          <w:rFonts w:ascii="Arial" w:cs="Arial" w:eastAsia="Arial" w:hAnsi="Arial"/>
          <w:sz w:val="20"/>
          <w:szCs w:val="20"/>
        </w:rPr>
        <w:t xml:space="preserve">Based on row volume and partition key clarity, the six confirmed partition candidates are prioritized as follows: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400"/>
        <w:gridCol w:w="2400"/>
        <w:gridCol w:w="228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 Key</w:t>
            </w:r>
          </w:p>
        </w:tc>
        <w:tc>
          <w:tcPr>
            <w:tcW w:type="dxa" w:w="2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Pre-Meeting Investigation</w:t>
            </w:r>
          </w:p>
        </w:tc>
      </w:tr>
      <w:tr>
        <w:tc>
          <w:tcPr>
            <w:tcW w:type="dxa" w:w="4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FactTimesheet</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12,579,348</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DateKey</w:t>
            </w:r>
          </w:p>
        </w:tc>
        <w:tc>
          <w:tcPr>
            <w:tcW w:type="dxa" w:w="22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Single FK. Year data confirmed. Prototype target.</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FactSimulatorIssueActivity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8,981,713</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ActivityNoteCreatedDateKey</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Single FK. Run year breakdown.</w:t>
            </w:r>
          </w:p>
        </w:tc>
      </w:tr>
      <w:tr>
        <w:tc>
          <w:tcPr>
            <w:tcW w:type="dxa" w:w="4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FactProjectCostEstimate</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3,866,890</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AccountingPeriodDateKey</w:t>
            </w:r>
          </w:p>
        </w:tc>
        <w:tc>
          <w:tcPr>
            <w:tcW w:type="dxa" w:w="22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Two date FKs — compare year distributions of both before committing.</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FactSimulatorIssueAssignment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3,147,364</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Assignment StartDateKey</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Confirm column name. Check NULL rate on EndDateKey.</w:t>
            </w:r>
          </w:p>
        </w:tc>
      </w:tr>
      <w:tr>
        <w:tc>
          <w:tcPr>
            <w:tcW w:type="dxa" w:w="4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FactSimulatorIssueStatus</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1,851,045</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StatusStartDateKey</w:t>
            </w:r>
          </w:p>
        </w:tc>
        <w:tc>
          <w:tcPr>
            <w:tcW w:type="dxa" w:w="22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Three date FKs. Confirm column name. Check NULL rate on EndDate.</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FactSimulatorIssueDetail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1,278,160</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IssueCreatedDateKey</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Five date FKs. Verify no NULLs on key. Confirm 1-row-per-issue grain.</w:t>
            </w:r>
          </w:p>
        </w:tc>
      </w:tr>
    </w:tbl>
    <w:p>
      <w:r>
        <w:rPr>
          <w:sz w:val="20"/>
          <w:szCs w:val="20"/>
        </w:rPr>
        <w:t xml:space="preserve"/>
      </w:r>
    </w:p>
    <w:p>
      <w:pPr>
        <w:spacing w:after="120"/>
      </w:pPr>
      <w:r>
        <w:rPr>
          <w:rFonts w:ascii="Arial" w:cs="Arial" w:eastAsia="Arial" w:hAnsi="Arial"/>
          <w:sz w:val="20"/>
          <w:szCs w:val="20"/>
        </w:rPr>
        <w:t xml:space="preserve">Investigation scripts for all six candidates are provided in Appendix A.</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Appendix A — Pre-Meeting Investigation Scripts</w:t>
      </w:r>
    </w:p>
    <w:p>
      <w:pPr>
        <w:spacing w:after="120"/>
      </w:pPr>
      <w:r>
        <w:rPr>
          <w:rFonts w:ascii="Arial" w:cs="Arial" w:eastAsia="Arial" w:hAnsi="Arial"/>
          <w:sz w:val="20"/>
          <w:szCs w:val="20"/>
        </w:rPr>
        <w:t xml:space="preserve">Run each script against the SimulationsAnalytics relational database on DEV or UAT. For each candidate, two queries are provided: (1) year distribution on the recommended partition key, and (2) NULL rate check on the same key. Results should be pasted into the table in Section 4.4.1 before the meeting.</w:t>
      </w:r>
    </w:p>
    <w:p>
      <w:r>
        <w:rPr>
          <w:sz w:val="20"/>
          <w:szCs w:val="20"/>
        </w:rPr>
        <w:t xml:space="preserve"/>
      </w:r>
    </w:p>
    <w:p>
      <w:pPr>
        <w:pStyle w:val="Heading2"/>
        <w:spacing w:before="240" w:after="80"/>
      </w:pPr>
      <w:r>
        <w:rPr>
          <w:rFonts w:ascii="Arial" w:cs="Arial" w:eastAsia="Arial" w:hAnsi="Arial"/>
          <w:b/>
          <w:bCs/>
          <w:color w:val="2E75B6"/>
          <w:sz w:val="24"/>
          <w:szCs w:val="24"/>
        </w:rPr>
        <w:t xml:space="preserve">A.1 Template — Reusable for Any Table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 (integer YYYYMMDD DateKey)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[&lt;DateKeyColumn&gt;]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[dbo].[&lt;TableName&gt;]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[&lt;DateKeyColumn&gt;]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[&lt;DateKeyColumn&gt;]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 on partition key candidate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[&lt;DateKeyColumn&gt;] IS NULL THEN 1 ELSE 0 END)           AS NullKeyRows,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[&lt;DateKeyColumn&gt;] IS NULL THEN 1 ELSE 0 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 100.0 / COUNT(*) AS DECIMAL(5,2))                             AS NullKeyPct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[dbo].[&lt;TableName&gt;];</w:t>
      </w:r>
    </w:p>
    <w:p>
      <w:r>
        <w:rPr>
          <w:sz w:val="20"/>
          <w:szCs w:val="20"/>
        </w:rPr>
        <w:t xml:space="preserve"/>
      </w:r>
    </w:p>
    <w:p>
      <w:pPr>
        <w:pStyle w:val="Heading2"/>
        <w:spacing w:before="240" w:after="80"/>
      </w:pPr>
      <w:r>
        <w:rPr>
          <w:rFonts w:ascii="Arial" w:cs="Arial" w:eastAsia="Arial" w:hAnsi="Arial"/>
          <w:b/>
          <w:bCs/>
          <w:color w:val="2E75B6"/>
          <w:sz w:val="24"/>
          <w:szCs w:val="24"/>
        </w:rPr>
        <w:t xml:space="preserve">A.2 FactTimesheet</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DateKey</w:t>
      </w:r>
      <w:r>
        <w:rPr>
          <w:rFonts w:ascii="Arial" w:cs="Arial" w:eastAsia="Arial" w:hAnsi="Arial"/>
          <w:sz w:val="20"/>
          <w:szCs w:val="20"/>
        </w:rPr>
        <w:t xml:space="preserve">  |  </w:t>
      </w:r>
      <w:r>
        <w:rPr>
          <w:rFonts w:ascii="Arial" w:cs="Arial" w:eastAsia="Arial" w:hAnsi="Arial"/>
          <w:b/>
          <w:bCs/>
          <w:sz w:val="20"/>
          <w:szCs w:val="20"/>
        </w:rPr>
        <w:t xml:space="preserve">Status: </w:t>
      </w:r>
      <w:r>
        <w:rPr>
          <w:rFonts w:ascii="Arial" w:cs="Arial" w:eastAsia="Arial" w:hAnsi="Arial"/>
          <w:sz w:val="20"/>
          <w:szCs w:val="20"/>
        </w:rPr>
        <w:t xml:space="preserve">Year distribution already confirmed (see Section 4.3). Run NULL check only.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[DateKey] IS NULL THEN 1 ELSE 0 END)                  AS NullKeyRows,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[DateKey] IS NULL THEN 1 ELSE 0 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 100.0 / COUNT(*) AS DECIMAL(5,2))                             AS NullKeyPct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[dbo].[FactTimesheet];</w:t>
      </w:r>
    </w:p>
    <w:p>
      <w:r>
        <w:rPr>
          <w:sz w:val="20"/>
          <w:szCs w:val="20"/>
        </w:rPr>
        <w:t xml:space="preserve"/>
      </w:r>
    </w:p>
    <w:p>
      <w:pPr>
        <w:pStyle w:val="Heading2"/>
        <w:spacing w:before="240" w:after="80"/>
      </w:pPr>
      <w:r>
        <w:rPr>
          <w:rFonts w:ascii="Arial" w:cs="Arial" w:eastAsia="Arial" w:hAnsi="Arial"/>
          <w:b/>
          <w:bCs/>
          <w:color w:val="2E75B6"/>
          <w:sz w:val="24"/>
          <w:szCs w:val="24"/>
        </w:rPr>
        <w:t xml:space="preserve">A.3 FactSimulatorIssueActivity</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ActivityNoteCreatedDateKey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[ActivityNoteCreatedDateKey]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[dbo].[FactSimulatorIssueActivity]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[ActivityNoteCreatedDateKey]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[ActivityNoteCreatedDateKey]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[ActivityNoteCreatedDateKey] IS NULL THEN 1 ELSE 0 END)            AS NullKeyRows,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[ActivityNoteCreatedDateKey] IS NULL THEN 1 ELSE 0 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 100.0 / COUNT(*) AS DECIMAL(5,2))                                         AS NullKeyPct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[dbo].[FactSimulatorIssueActivity];</w:t>
      </w:r>
    </w:p>
    <w:p>
      <w:r>
        <w:rPr>
          <w:sz w:val="20"/>
          <w:szCs w:val="20"/>
        </w:rPr>
        <w:t xml:space="preserve"/>
      </w:r>
    </w:p>
    <w:p>
      <w:pPr>
        <w:pStyle w:val="Heading2"/>
        <w:spacing w:before="240" w:after="80"/>
      </w:pPr>
      <w:r>
        <w:rPr>
          <w:rFonts w:ascii="Arial" w:cs="Arial" w:eastAsia="Arial" w:hAnsi="Arial"/>
          <w:b/>
          <w:bCs/>
          <w:color w:val="2E75B6"/>
          <w:sz w:val="24"/>
          <w:szCs w:val="24"/>
        </w:rPr>
        <w:t xml:space="preserve">A.4 FactProjectCostEstimate</w:t>
      </w:r>
    </w:p>
    <w:p>
      <w:pPr>
        <w:spacing w:after="120"/>
      </w:pPr>
      <w:r>
        <w:rPr>
          <w:rFonts w:ascii="Arial" w:cs="Arial" w:eastAsia="Arial" w:hAnsi="Arial"/>
          <w:b/>
          <w:bCs/>
          <w:sz w:val="20"/>
          <w:szCs w:val="20"/>
        </w:rPr>
        <w:t xml:space="preserve">Partition key candidates: </w:t>
      </w:r>
      <w:r>
        <w:rPr>
          <w:rFonts w:ascii="Arial" w:cs="Arial" w:eastAsia="Arial" w:hAnsi="Arial"/>
          <w:sz w:val="20"/>
          <w:szCs w:val="20"/>
        </w:rPr>
        <w:t xml:space="preserve">AccountingPeriodDateKey  vs.  CreateDateKey  — run both and compare distributions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AccountingPeriodDateKey distribution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[AccountingPeriodDateKey]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[dbo].[FactProjectCostEstimate]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[AccountingPeriodDateKey]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[AccountingPeriodDateKey]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CreateDateKey distribution (compare side-by-side with above)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[CreateDateKey]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[dbo].[FactProjectCostEstimate]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[CreateDateKey]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[CreateDateKey]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rates on both keys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[AccountingPeriodDateKey] IS NULL THEN 1 ELSE 0 END)          AS NullAcctPeriod,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[CreateDateKey]            IS NULL THEN 1 ELSE 0 END)          AS NullCreateDate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[dbo].[FactProjectCostEstimate];</w:t>
      </w:r>
    </w:p>
    <w:p>
      <w:r>
        <w:rPr>
          <w:sz w:val="20"/>
          <w:szCs w:val="20"/>
        </w:rPr>
        <w:t xml:space="preserve"/>
      </w:r>
    </w:p>
    <w:p>
      <w:pPr>
        <w:spacing w:after="120"/>
      </w:pPr>
      <w:r>
        <w:rPr>
          <w:rFonts w:ascii="Arial" w:cs="Arial" w:eastAsia="Arial" w:hAnsi="Arial"/>
          <w:i/>
          <w:iCs/>
          <w:sz w:val="20"/>
          <w:szCs w:val="20"/>
        </w:rPr>
        <w:t xml:space="preserve">Decision guide: </w:t>
      </w:r>
      <w:r>
        <w:rPr>
          <w:rFonts w:ascii="Arial" w:cs="Arial" w:eastAsia="Arial" w:hAnsi="Arial"/>
          <w:sz w:val="20"/>
          <w:szCs w:val="20"/>
        </w:rPr>
        <w:t xml:space="preserve">If AccountingPeriodDateKey distribution closely matches CreateDateKey distribution, either key works — prefer AccountingPeriod for query alignment. If they diverge significantly (many recent CreateDate rows mapping to old AccountingPeriods), retroactive entry is common and must be discussed with the team before freezing historical partitions.</w:t>
      </w:r>
    </w:p>
    <w:p>
      <w:r>
        <w:rPr>
          <w:sz w:val="20"/>
          <w:szCs w:val="20"/>
        </w:rPr>
        <w:t xml:space="preserve"/>
      </w:r>
    </w:p>
    <w:p>
      <w:pPr>
        <w:pStyle w:val="Heading2"/>
        <w:spacing w:before="240" w:after="80"/>
      </w:pPr>
      <w:r>
        <w:rPr>
          <w:rFonts w:ascii="Arial" w:cs="Arial" w:eastAsia="Arial" w:hAnsi="Arial"/>
          <w:b/>
          <w:bCs/>
          <w:color w:val="2E75B6"/>
          <w:sz w:val="24"/>
          <w:szCs w:val="24"/>
        </w:rPr>
        <w:t xml:space="preserve">A.5 FactSimulatorIssueAssignment</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Assignment StartDateKey  (confirm exact column name first)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Confirm exact column names for the two date FKs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COLUMN_NAME, DATA_TYPE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INFORMATION_SCHEMA.COLUMNS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TABLE_NAME = 'FactSimulatorIssueAssignment'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AND   TABLE_SCHEMA = 'dbo'</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ORDINAL_POSITION;</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 on StartDateKey (substitute confirmed column name)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[IssueAssignmentStartDateKey]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[dbo].[FactSimulatorIssueAssignment]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[IssueAssignmentStartDateKey]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[IssueAssignmentStartDateKey]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 + open assignment sizing (EndDateKey IS NULL = still-open assignment)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[IssueAssignmentStartDateKey] IS NULL THEN 1 ELSE 0 END)            AS NullStartKey,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[IssueAssignmentEndDateKey]   IS NULL THEN 1 ELSE 0 END)            AS OpenAssignments,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[IssueAssignmentEndDateKey] IS NULL THEN 1 ELSE 0 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 100.0 / COUNT(*) AS DECIMAL(5,2))                                          AS OpenAssignmentPct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[dbo].[FactSimulatorIssueAssignment];</w:t>
      </w:r>
    </w:p>
    <w:p>
      <w:r>
        <w:rPr>
          <w:sz w:val="20"/>
          <w:szCs w:val="20"/>
        </w:rPr>
        <w:t xml:space="preserve"/>
      </w:r>
    </w:p>
    <w:p>
      <w:pPr>
        <w:pStyle w:val="Heading2"/>
        <w:spacing w:before="240" w:after="80"/>
      </w:pPr>
      <w:r>
        <w:rPr>
          <w:rFonts w:ascii="Arial" w:cs="Arial" w:eastAsia="Arial" w:hAnsi="Arial"/>
          <w:b/>
          <w:bCs/>
          <w:color w:val="2E75B6"/>
          <w:sz w:val="24"/>
          <w:szCs w:val="24"/>
        </w:rPr>
        <w:t xml:space="preserve">A.6 FactSimulatorIssueStatus</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StatusStartDateKey  (confirm exact column name first)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Confirm exact column names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COLUMN_NAME, DATA_TYPE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INFORMATION_SCHEMA.COLUMNS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TABLE_NAME = 'FactSimulatorIssueStatus'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AND   TABLE_SCHEMA = 'dbo'</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ORDINAL_POSITION;</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 on StatusStartDateKey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[StatusStartDateKey]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[dbo].[FactSimulatorIssueStatus]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[StatusStartDateKey]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[StatusStartDateKey]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rates on all three date keys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[IssueCreateDateKey]  IS NULL THEN 1 ELSE 0 END)             AS NullIssueCreate,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[StatusStartDateKey]  IS NULL THEN 1 ELSE 0 END)             AS NullStatusStart,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[StatusEndDateKey]    IS NULL THEN 1 ELSE 0 END)             AS NullStatusEnd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[dbo].[FactSimulatorIssueStatus];</w:t>
      </w:r>
    </w:p>
    <w:p>
      <w:r>
        <w:rPr>
          <w:sz w:val="20"/>
          <w:szCs w:val="20"/>
        </w:rPr>
        <w:t xml:space="preserve"/>
      </w:r>
    </w:p>
    <w:p>
      <w:pPr>
        <w:pStyle w:val="Heading2"/>
        <w:spacing w:before="240" w:after="80"/>
      </w:pPr>
      <w:r>
        <w:rPr>
          <w:rFonts w:ascii="Arial" w:cs="Arial" w:eastAsia="Arial" w:hAnsi="Arial"/>
          <w:b/>
          <w:bCs/>
          <w:color w:val="2E75B6"/>
          <w:sz w:val="24"/>
          <w:szCs w:val="24"/>
        </w:rPr>
        <w:t xml:space="preserve">A.7 FactSimulatorIssueDetail</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IssueCreatedDateKey  — verify no NULLs and confirm 1-row-per-issue grain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 on IssueCreatedDateKey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[IssueCreatedDateKey]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[dbo].[FactSimulatorIssueDetail]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[IssueCreatedDateKey]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[IssueCreatedDateKey]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rates on all five date keys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[IssueCreatedDateKey]  IS NULL THEN 1 ELSE 0 END)            AS NullIssueCreated,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[IssueDateKey]         IS NULL THEN 1 ELSE 0 END)            AS NullIssueDate,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[IssueClosedDateKey]   IS NULL THEN 1 ELSE 0 END)            AS NullIssueClosed,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[IssueDueDateKey]      IS NULL THEN 1 ELSE 0 END)            AS NullIssueDue,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[IssueModifiedDateKey] IS NULL THEN 1 ELSE 0 END)            AS NullIssueModified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[dbo].[FactSimulatorIssueDetail];</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Grain check: confirm 1-row-per-issue (should match DimSimulatorIssue row count of 1,278,155)</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COUNT(DISTINCT [SimulatorIssueKey]) AS DistinctIssues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[dbo].[FactSimulatorIssueDetail];</w:t>
      </w:r>
    </w:p>
    <w:p>
      <w:r>
        <w:rPr>
          <w:sz w:val="20"/>
          <w:szCs w:val="20"/>
        </w:rPr>
        <w:t xml:space="preserve"/>
      </w:r>
    </w:p>
    <w:p>
      <w:pPr>
        <w:spacing w:after="120"/>
      </w:pPr>
      <w:r>
        <w:rPr>
          <w:rFonts w:ascii="Arial" w:cs="Arial" w:eastAsia="Arial" w:hAnsi="Arial"/>
          <w:i/>
          <w:iCs/>
          <w:sz w:val="20"/>
          <w:szCs w:val="20"/>
        </w:rPr>
        <w:t xml:space="preserve">Note: </w:t>
      </w:r>
      <w:r>
        <w:rPr>
          <w:rFonts w:ascii="Arial" w:cs="Arial" w:eastAsia="Arial" w:hAnsi="Arial"/>
          <w:sz w:val="20"/>
          <w:szCs w:val="20"/>
        </w:rPr>
        <w:t xml:space="preserve">DimSimulatorIssue has 1,278,155 rows and FactSimulatorIssueDetail has 1,278,160 rows — a difference of 5. The grain check will confirm whether this is 1:1 or whether a small number of issues have multiple detail rows. Either is partitionable but the interpretation differs.</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5. Why Partition? — The Case For and Against</w:t>
      </w:r>
    </w:p>
    <w:p>
      <w:pPr>
        <w:pStyle w:val="Heading2"/>
        <w:spacing w:before="240" w:after="80"/>
      </w:pPr>
      <w:r>
        <w:rPr>
          <w:rFonts w:ascii="Arial" w:cs="Arial" w:eastAsia="Arial" w:hAnsi="Arial"/>
          <w:b/>
          <w:bCs/>
          <w:color w:val="2E75B6"/>
          <w:sz w:val="24"/>
          <w:szCs w:val="24"/>
        </w:rPr>
        <w:t xml:space="preserve">5.1 The Case For</w:t>
      </w:r>
    </w:p>
    <w:p>
      <w:pPr>
        <w:spacing w:after="120"/>
      </w:pPr>
      <w:r>
        <w:rPr>
          <w:rFonts w:ascii="Arial" w:cs="Arial" w:eastAsia="Arial" w:hAnsi="Arial"/>
          <w:b/>
          <w:bCs/>
          <w:sz w:val="20"/>
          <w:szCs w:val="20"/>
        </w:rPr>
        <w:t xml:space="preserve">Processing time reduction</w:t>
      </w:r>
      <w:r>
        <w:rPr>
          <w:rFonts w:ascii="Arial" w:cs="Arial" w:eastAsia="Arial" w:hAnsi="Arial"/>
          <w:sz w:val="20"/>
          <w:szCs w:val="20"/>
        </w:rPr>
        <w:t xml:space="preserve"> is the primary driver. A full cube process reloads every row of every table from SQL Server on every pipeline run. With nine tables over 1M rows, the data volume moved on every run is substantial and grows over time. With year-based partitioning, only the current partition (current year) is refreshed on daily runs. Historical partitions are loaded once and left untouched.</w:t>
      </w:r>
    </w:p>
    <w:p>
      <w:pPr>
        <w:spacing w:after="120"/>
      </w:pPr>
      <w:r>
        <w:rPr>
          <w:rFonts w:ascii="Arial" w:cs="Arial" w:eastAsia="Arial" w:hAnsi="Arial"/>
          <w:b/>
          <w:bCs/>
          <w:sz w:val="20"/>
          <w:szCs w:val="20"/>
        </w:rPr>
        <w:t xml:space="preserve">Query performance</w:t>
      </w:r>
      <w:r>
        <w:rPr>
          <w:rFonts w:ascii="Arial" w:cs="Arial" w:eastAsia="Arial" w:hAnsi="Arial"/>
          <w:sz w:val="20"/>
          <w:szCs w:val="20"/>
        </w:rPr>
        <w:t xml:space="preserve"> is a secondary benefit. The VertiPaq engine can eliminate entire partitions at query time when a DAX filter aligns with partition boundaries. Reports filtered to a specific year or date range skip all non-qualifying partitions, improving measure evaluation time.</w:t>
      </w:r>
    </w:p>
    <w:p>
      <w:pPr>
        <w:spacing w:after="120"/>
      </w:pPr>
      <w:r>
        <w:rPr>
          <w:rFonts w:ascii="Arial" w:cs="Arial" w:eastAsia="Arial" w:hAnsi="Arial"/>
          <w:b/>
          <w:bCs/>
          <w:sz w:val="20"/>
          <w:szCs w:val="20"/>
        </w:rPr>
        <w:t xml:space="preserve">Pipeline reliability</w:t>
      </w:r>
      <w:r>
        <w:rPr>
          <w:rFonts w:ascii="Arial" w:cs="Arial" w:eastAsia="Arial" w:hAnsi="Arial"/>
          <w:sz w:val="20"/>
          <w:szCs w:val="20"/>
        </w:rPr>
        <w:t xml:space="preserve">. A full-table reload of a 10M-row table is a single large unit of work. Failure mid-way leaves the entire table in an unprocessed state. With partitions, a failure affects only the partition being processed; historical data remains fully queryable while only the current partition retries.</w:t>
      </w:r>
    </w:p>
    <w:p>
      <w:pPr>
        <w:spacing w:after="120"/>
      </w:pPr>
      <w:r>
        <w:rPr>
          <w:rFonts w:ascii="Arial" w:cs="Arial" w:eastAsia="Arial" w:hAnsi="Arial"/>
          <w:b/>
          <w:bCs/>
          <w:sz w:val="20"/>
          <w:szCs w:val="20"/>
        </w:rPr>
        <w:t xml:space="preserve">Incremental processing patterns</w:t>
      </w:r>
      <w:r>
        <w:rPr>
          <w:rFonts w:ascii="Arial" w:cs="Arial" w:eastAsia="Arial" w:hAnsi="Arial"/>
          <w:sz w:val="20"/>
          <w:szCs w:val="20"/>
        </w:rPr>
        <w:t xml:space="preserve">. With partitions in place, daily pipeline runs can target only current-period partitions. Full historical reprocessing becomes a scheduled maintenance operation rather than the default.</w:t>
      </w:r>
    </w:p>
    <w:p>
      <w:pPr>
        <w:pStyle w:val="Heading2"/>
        <w:spacing w:before="240" w:after="80"/>
      </w:pPr>
      <w:r>
        <w:rPr>
          <w:rFonts w:ascii="Arial" w:cs="Arial" w:eastAsia="Arial" w:hAnsi="Arial"/>
          <w:b/>
          <w:bCs/>
          <w:color w:val="2E75B6"/>
          <w:sz w:val="24"/>
          <w:szCs w:val="24"/>
        </w:rPr>
        <w:t xml:space="preserve">5.2 The Case Against (Reasons to Proceed Carefully)</w:t>
      </w:r>
    </w:p>
    <w:p>
      <w:pPr>
        <w:pStyle w:val="ListParagraph"/>
        <w:numPr>
          <w:ilvl w:val="0"/>
          <w:numId w:val="2"/>
        </w:numPr>
        <w:spacing w:after="60"/>
        <w:ind w:left="720" w:hanging="360"/>
      </w:pPr>
      <w:r>
        <w:rPr>
          <w:rFonts w:ascii="Arial" w:cs="Arial" w:eastAsia="Arial" w:hAnsi="Arial"/>
          <w:sz w:val="20"/>
          <w:szCs w:val="20"/>
        </w:rPr>
        <w:t xml:space="preserve">Deployment complexity: createOrReplace destroys partitions on every deploy. Without explicit partition management logic in the deploy script, partitioning provides no benefit — or worse, causes silent data loss.</w:t>
      </w:r>
    </w:p>
    <w:p>
      <w:pPr>
        <w:pStyle w:val="ListParagraph"/>
        <w:numPr>
          <w:ilvl w:val="0"/>
          <w:numId w:val="2"/>
        </w:numPr>
        <w:spacing w:after="60"/>
        <w:ind w:left="720" w:hanging="360"/>
      </w:pPr>
      <w:r>
        <w:rPr>
          <w:rFonts w:ascii="Arial" w:cs="Arial" w:eastAsia="Arial" w:hAnsi="Arial"/>
          <w:sz w:val="20"/>
          <w:szCs w:val="20"/>
        </w:rPr>
        <w:t xml:space="preserve">Management overhead: Partition definitions must be maintained in code. New year partitions must be added annually. Automatable, but requires deliberate engineering.</w:t>
      </w:r>
    </w:p>
    <w:p>
      <w:pPr>
        <w:pStyle w:val="ListParagraph"/>
        <w:numPr>
          <w:ilvl w:val="0"/>
          <w:numId w:val="2"/>
        </w:numPr>
        <w:spacing w:after="60"/>
        <w:ind w:left="720" w:hanging="360"/>
      </w:pPr>
      <w:r>
        <w:rPr>
          <w:rFonts w:ascii="Arial" w:cs="Arial" w:eastAsia="Arial" w:hAnsi="Arial"/>
          <w:sz w:val="20"/>
          <w:szCs w:val="20"/>
        </w:rPr>
        <w:t xml:space="preserve">Small tables do not benefit: For the majority of our tables (under 100K rows), partitioning adds complexity for zero meaningful gain.</w:t>
      </w:r>
    </w:p>
    <w:p>
      <w:pPr>
        <w:pStyle w:val="ListParagraph"/>
        <w:numPr>
          <w:ilvl w:val="0"/>
          <w:numId w:val="2"/>
        </w:numPr>
        <w:spacing w:after="60"/>
        <w:ind w:left="720" w:hanging="360"/>
      </w:pPr>
      <w:r>
        <w:rPr>
          <w:rFonts w:ascii="Arial" w:cs="Arial" w:eastAsia="Arial" w:hAnsi="Arial"/>
          <w:sz w:val="20"/>
          <w:szCs w:val="20"/>
        </w:rPr>
        <w:t xml:space="preserve">Team must be partition-aware: Any developer running ad-hoc process operations from SSMS needs to understand what they are targeting.</w:t>
      </w:r>
    </w:p>
    <w:p>
      <w:r>
        <w:rPr>
          <w:sz w:val="20"/>
          <w:szCs w:val="20"/>
        </w:rPr>
        <w:t xml:space="preserve"/>
      </w:r>
    </w:p>
    <w:p>
      <w:pPr>
        <w:pStyle w:val="Heading1"/>
        <w:spacing w:before="360" w:after="120"/>
      </w:pPr>
      <w:r>
        <w:rPr>
          <w:rFonts w:ascii="Arial" w:cs="Arial" w:eastAsia="Arial" w:hAnsi="Arial"/>
          <w:b/>
          <w:bCs/>
          <w:color w:val="1F3864"/>
          <w:sz w:val="32"/>
          <w:szCs w:val="32"/>
        </w:rPr>
        <w:t xml:space="preserve">6. Partitioning Fundamentals — SSAS Tabular</w:t>
      </w:r>
    </w:p>
    <w:p>
      <w:pPr>
        <w:pStyle w:val="Heading2"/>
        <w:spacing w:before="240" w:after="80"/>
      </w:pPr>
      <w:r>
        <w:rPr>
          <w:rFonts w:ascii="Arial" w:cs="Arial" w:eastAsia="Arial" w:hAnsi="Arial"/>
          <w:b/>
          <w:bCs/>
          <w:color w:val="2E75B6"/>
          <w:sz w:val="24"/>
          <w:szCs w:val="24"/>
        </w:rPr>
        <w:t xml:space="preserve">6.1 What Is a Partition?</w:t>
      </w:r>
    </w:p>
    <w:p>
      <w:pPr>
        <w:spacing w:after="120"/>
      </w:pPr>
      <w:r>
        <w:rPr>
          <w:rFonts w:ascii="Arial" w:cs="Arial" w:eastAsia="Arial" w:hAnsi="Arial"/>
          <w:sz w:val="20"/>
          <w:szCs w:val="20"/>
        </w:rPr>
        <w:t xml:space="preserve">A partition is a named segment of a table's data defined by a SQL query. When SSAS processes a table, it executes each partition's query against the relational source and loads the result set into the VertiPaq in-memory store. A table with multiple partitions has multiple independent SQL queries, each loading a subset of rows. From the perspective of any DAX query, MDX query, Power BI report, or paginated SSRS report, the table appears as a single unified table — partition boundaries are completely invisible to consumers.</w:t>
      </w:r>
    </w:p>
    <w:p>
      <w:pPr>
        <w:pStyle w:val="Heading2"/>
        <w:spacing w:before="240" w:after="80"/>
      </w:pPr>
      <w:r>
        <w:rPr>
          <w:rFonts w:ascii="Arial" w:cs="Arial" w:eastAsia="Arial" w:hAnsi="Arial"/>
          <w:b/>
          <w:bCs/>
          <w:color w:val="2E75B6"/>
          <w:sz w:val="24"/>
          <w:szCs w:val="24"/>
        </w:rPr>
        <w:t xml:space="preserve">6.2 Partition Processing Types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Refresh Type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r>
      <w:tr>
        <w:tc>
          <w:tcPr>
            <w:tcW w:type="dxa" w:w="1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full</w:t>
            </w:r>
          </w:p>
        </w:tc>
        <w:tc>
          <w:tcPr>
            <w:tcW w:type="dxa" w:w="4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Clears all data and reloads from source</w:t>
            </w:r>
          </w:p>
        </w:tc>
        <w:tc>
          <w:tcPr>
            <w:tcW w:type="dxa" w:w="3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Structural changes; initial load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dataOnly</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Clears and reloads data only; no recalculation</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Normal refresh — follow with calculate</w:t>
            </w:r>
          </w:p>
        </w:tc>
      </w:tr>
      <w:tr>
        <w:tc>
          <w:tcPr>
            <w:tcW w:type="dxa" w:w="1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calculate</w:t>
            </w:r>
          </w:p>
        </w:tc>
        <w:tc>
          <w:tcPr>
            <w:tcW w:type="dxa" w:w="4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Rebuilds calculated columns and relationships without reloading data</w:t>
            </w:r>
          </w:p>
        </w:tc>
        <w:tc>
          <w:tcPr>
            <w:tcW w:type="dxa" w:w="3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After dataOnly completes across all tables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clearValues</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Empties the partition without reloading</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Diagnostics; staged reloads</w:t>
            </w:r>
          </w:p>
        </w:tc>
      </w:tr>
      <w:tr>
        <w:tc>
          <w:tcPr>
            <w:tcW w:type="dxa" w:w="1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add</w:t>
            </w:r>
          </w:p>
        </w:tc>
        <w:tc>
          <w:tcPr>
            <w:tcW w:type="dxa" w:w="4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Processes only new rows (requires source query support)</w:t>
            </w:r>
          </w:p>
        </w:tc>
        <w:tc>
          <w:tcPr>
            <w:tcW w:type="dxa" w:w="3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Incremental append scenarios</w:t>
            </w:r>
          </w:p>
        </w:tc>
      </w:tr>
    </w:tbl>
    <w:p>
      <w:r>
        <w:rPr>
          <w:sz w:val="20"/>
          <w:szCs w:val="20"/>
        </w:rPr>
        <w:t xml:space="preserve"/>
      </w:r>
    </w:p>
    <w:p>
      <w:pPr>
        <w:pStyle w:val="Heading2"/>
        <w:spacing w:before="240" w:after="80"/>
      </w:pPr>
      <w:r>
        <w:rPr>
          <w:rFonts w:ascii="Arial" w:cs="Arial" w:eastAsia="Arial" w:hAnsi="Arial"/>
          <w:b/>
          <w:bCs/>
          <w:color w:val="2E75B6"/>
          <w:sz w:val="24"/>
          <w:szCs w:val="24"/>
        </w:rPr>
        <w:t xml:space="preserve">6.3 TMSL Partition Management — Key Pattern</w:t>
      </w:r>
    </w:p>
    <w:p>
      <w:pPr>
        <w:spacing w:after="120"/>
      </w:pPr>
      <w:r>
        <w:rPr>
          <w:rFonts w:ascii="Arial" w:cs="Arial" w:eastAsia="Arial" w:hAnsi="Arial"/>
          <w:sz w:val="20"/>
          <w:szCs w:val="20"/>
        </w:rPr>
        <w:t xml:space="preserve">Partitions are defined as child objects of a table in TMSL. The following is the core pattern for creating or replacing a named partition on a specific table without affecting any other partitions: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"createOrReplace":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"object":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"database":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"table": "FactSimulatorIssueActivity",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"partition": "FactSimulatorIssueActivity_2024"</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"partition":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"name": "FactSimulatorIssueActivity_2024",</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"source":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"type": "query",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"query": "SELECT * FROM [dbo].[FactSimulatorIssueActivity] WHERE [DateKey] BETWEEN 20240101 AND 20241231",</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"dataSource":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t>
      </w:r>
    </w:p>
    <w:p>
      <w:r>
        <w:rPr>
          <w:sz w:val="20"/>
          <w:szCs w:val="20"/>
        </w:rPr>
        <w:t xml:space="preserve"/>
      </w:r>
    </w:p>
    <w:p>
      <w:pPr>
        <w:spacing w:after="120"/>
      </w:pPr>
      <w:r>
        <w:rPr>
          <w:rFonts w:ascii="Arial" w:cs="Arial" w:eastAsia="Arial" w:hAnsi="Arial"/>
          <w:sz w:val="20"/>
          <w:szCs w:val="20"/>
        </w:rPr>
        <w:t xml:space="preserve">This TMSL operation creates or replaces a single named partition without affecting other partitions on the same table. This is the key operation that Manage-Partitions.ps1 and the post-deploy step in SSAS-Deploy.ps1 will use.</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7. Partition Strategy Options</w:t>
      </w:r>
    </w:p>
    <w:p>
      <w:pPr>
        <w:spacing w:after="120"/>
      </w:pPr>
      <w:r>
        <w:rPr>
          <w:rFonts w:ascii="Arial" w:cs="Arial" w:eastAsia="Arial" w:hAnsi="Arial"/>
          <w:sz w:val="20"/>
          <w:szCs w:val="20"/>
        </w:rPr>
        <w:t xml:space="preserve">Four options are presented. These are not mutually exclusive — the expected outcome of the team discussion is a hybrid of Options B and D.</w:t>
      </w:r>
    </w:p>
    <w:p>
      <w:pPr>
        <w:pStyle w:val="Heading2"/>
        <w:spacing w:before="240" w:after="80"/>
      </w:pPr>
      <w:r>
        <w:rPr>
          <w:rFonts w:ascii="Arial" w:cs="Arial" w:eastAsia="Arial" w:hAnsi="Arial"/>
          <w:b/>
          <w:bCs/>
          <w:color w:val="2E75B6"/>
          <w:sz w:val="24"/>
          <w:szCs w:val="24"/>
        </w:rPr>
        <w:t xml:space="preserve">Option A — No Change</w:t>
      </w:r>
    </w:p>
    <w:p>
      <w:pPr>
        <w:spacing w:after="120"/>
      </w:pPr>
      <w:r>
        <w:rPr>
          <w:rFonts w:ascii="Arial" w:cs="Arial" w:eastAsia="Arial" w:hAnsi="Arial"/>
          <w:sz w:val="20"/>
          <w:szCs w:val="20"/>
        </w:rPr>
        <w:t xml:space="preserve">Keep the current single-partition, full-table-reload model. No deployment or pipeline changes required.</w:t>
      </w:r>
    </w:p>
    <w:p>
      <w:pPr>
        <w:spacing w:after="120"/>
      </w:pPr>
      <w:r>
        <w:rPr>
          <w:rFonts w:ascii="Arial" w:cs="Arial" w:eastAsia="Arial" w:hAnsi="Arial"/>
          <w:i/>
          <w:iCs/>
          <w:sz w:val="20"/>
          <w:szCs w:val="20"/>
        </w:rPr>
        <w:t xml:space="preserve">Appropriate if: </w:t>
      </w:r>
      <w:r>
        <w:rPr>
          <w:rFonts w:ascii="Arial" w:cs="Arial" w:eastAsia="Arial" w:hAnsi="Arial"/>
          <w:sz w:val="20"/>
          <w:szCs w:val="20"/>
        </w:rPr>
        <w:t xml:space="preserve">Row counts on all fact tables are small enough that full reprocessing runs within acceptable time limits and growth projections do not change that picture. Given the UAT/PRD data above, this option is unlikely to be sustainable.</w:t>
      </w:r>
    </w:p>
    <w:p>
      <w:pPr>
        <w:pStyle w:val="Heading2"/>
        <w:spacing w:before="240" w:after="80"/>
      </w:pPr>
      <w:r>
        <w:rPr>
          <w:rFonts w:ascii="Arial" w:cs="Arial" w:eastAsia="Arial" w:hAnsi="Arial"/>
          <w:b/>
          <w:bCs/>
          <w:color w:val="2E75B6"/>
          <w:sz w:val="24"/>
          <w:szCs w:val="24"/>
        </w:rPr>
        <w:t xml:space="preserve">Option B — Year-Based Partitioning with Active / Frozen Tiers (Recommended Core Strategy)</w:t>
      </w:r>
    </w:p>
    <w:p>
      <w:pPr>
        <w:spacing w:after="120"/>
      </w:pPr>
      <w:r>
        <w:rPr>
          <w:rFonts w:ascii="Arial" w:cs="Arial" w:eastAsia="Arial" w:hAnsi="Arial"/>
          <w:sz w:val="20"/>
          <w:szCs w:val="20"/>
        </w:rPr>
        <w:t xml:space="preserve">Create one partition per calendar year for each qualifying table. Partitions are classified into two operational tiers based on how recently their data changes: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960"/>
        <w:gridCol w:w="36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Partitions</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Daily Processing</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8"/>
                <w:szCs w:val="18"/>
              </w:rPr>
              <w:t xml:space="preserve">ACTIVE</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Year (2026)</w:t>
            </w:r>
          </w:p>
        </w:tc>
        <w:tc>
          <w:tcPr>
            <w:tcW w:type="dxa" w:w="196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every run</w:t>
            </w:r>
          </w:p>
        </w:tc>
        <w:tc>
          <w:tcPr>
            <w:tcW w:type="dxa" w:w="36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Receives new and updated data constantly throughout the year</w:t>
            </w:r>
          </w:p>
        </w:tc>
      </w:tr>
      <w:tr>
        <w:tc>
          <w:tcPr>
            <w:tcW w:type="dxa" w:w="1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8"/>
                <w:szCs w:val="18"/>
              </w:rPr>
              <w:t xml:space="preserve">ACTIVE</w:t>
            </w:r>
          </w:p>
        </w:tc>
        <w:tc>
          <w:tcPr>
            <w:tcW w:type="dxa" w:w="2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Previous Year (2025)</w:t>
            </w:r>
          </w:p>
        </w:tc>
        <w:tc>
          <w:tcPr>
            <w:tcW w:type="dxa" w:w="19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every run</w:t>
            </w:r>
          </w:p>
        </w:tc>
        <w:tc>
          <w:tcPr>
            <w:tcW w:type="dxa" w:w="36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Late-arriving records and corrections commonly land in the most recent prior year</w:t>
            </w:r>
          </w:p>
        </w:tc>
      </w:tr>
      <w:tr>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1F3864"/>
                <w:sz w:val="18"/>
                <w:szCs w:val="18"/>
              </w:rPr>
              <w:t xml:space="preserve">ACTIVE</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Catch-All (pre-history / nulls)</w:t>
            </w:r>
          </w:p>
        </w:tc>
        <w:tc>
          <w:tcPr>
            <w:tcW w:type="dxa" w:w="19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every run</w:t>
            </w:r>
          </w:p>
        </w:tc>
        <w:tc>
          <w:tcPr>
            <w:tcW w:type="dxa" w:w="3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Captures rows with null or out-of-range date keys; prevents data loss at partition boundaries</w:t>
            </w:r>
          </w:p>
        </w:tc>
      </w:tr>
      <w:tr>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bCs/>
                <w:color w:val="843C0C"/>
                <w:sz w:val="18"/>
                <w:szCs w:val="18"/>
              </w:rPr>
              <w:t xml:space="preserve">FROZEN</w:t>
            </w:r>
          </w:p>
        </w:tc>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other years (e.g. 2000–2024)</w:t>
            </w:r>
          </w:p>
        </w:tc>
        <w:tc>
          <w:tcPr>
            <w:tcW w:type="dxa" w:w="19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bCs/>
                <w:color w:val="000000"/>
                <w:sz w:val="18"/>
                <w:szCs w:val="18"/>
              </w:rPr>
              <w:t xml:space="preserve">NO — skipped</w:t>
            </w:r>
          </w:p>
        </w:tc>
        <w:tc>
          <w:tcPr>
            <w:tcW w:type="dxa" w:w="36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Historical data treated as immutable. Processed once on initial setup; skipped on all routine runs. Reprocessed only on explicit historical correction request.</w:t>
            </w:r>
          </w:p>
        </w:tc>
      </w:tr>
    </w:tbl>
    <w:p>
      <w:r>
        <w:rPr>
          <w:sz w:val="20"/>
          <w:szCs w:val="20"/>
        </w:rPr>
        <w:t xml:space="preserve"/>
      </w:r>
    </w:p>
    <w:p>
      <w:pPr>
        <w:spacing w:after="120"/>
      </w:pPr>
      <w:r>
        <w:rPr>
          <w:rFonts w:ascii="Arial" w:cs="Arial" w:eastAsia="Arial" w:hAnsi="Arial"/>
          <w:sz w:val="20"/>
          <w:szCs w:val="20"/>
        </w:rPr>
        <w:t xml:space="preserve">At each year boundary (January 1), the pipeline configuration advances: the partition that was "Current Year" becomes "Previous Year," a new "Current Year" partition is created, and the partition that was "Previous Year" joins the frozen tier. The Catch-All partition definition does not change.</w:t>
      </w:r>
    </w:p>
    <w:p>
      <w:pPr>
        <w:spacing w:after="120"/>
      </w:pPr>
      <w:r>
        <w:rPr>
          <w:rFonts w:ascii="Arial" w:cs="Arial" w:eastAsia="Arial" w:hAnsi="Arial"/>
          <w:i/>
          <w:iCs/>
          <w:sz w:val="20"/>
          <w:szCs w:val="20"/>
        </w:rPr>
        <w:t xml:space="preserve">Appropriate for: </w:t>
      </w:r>
      <w:r>
        <w:rPr>
          <w:rFonts w:ascii="Arial" w:cs="Arial" w:eastAsia="Arial" w:hAnsi="Arial"/>
          <w:sz w:val="20"/>
          <w:szCs w:val="20"/>
        </w:rPr>
        <w:t xml:space="preserve">All qualifying tables where a reliable DateKey column is available. This is the recommended core strategy.</w:t>
      </w:r>
    </w:p>
    <w:p>
      <w:pPr>
        <w:pStyle w:val="Heading2"/>
        <w:spacing w:before="240" w:after="80"/>
      </w:pPr>
      <w:r>
        <w:rPr>
          <w:rFonts w:ascii="Arial" w:cs="Arial" w:eastAsia="Arial" w:hAnsi="Arial"/>
          <w:b/>
          <w:bCs/>
          <w:color w:val="2E75B6"/>
          <w:sz w:val="24"/>
          <w:szCs w:val="24"/>
        </w:rPr>
        <w:t xml:space="preserve">Option C — Rolling Window Partitioning</w:t>
      </w:r>
    </w:p>
    <w:p>
      <w:pPr>
        <w:spacing w:after="120"/>
      </w:pPr>
      <w:r>
        <w:rPr>
          <w:rFonts w:ascii="Arial" w:cs="Arial" w:eastAsia="Arial" w:hAnsi="Arial"/>
          <w:sz w:val="20"/>
          <w:szCs w:val="20"/>
        </w:rPr>
        <w:t xml:space="preserve">Maintain a fixed number of active partitions (e.g., rolling 13 months), archiving or dropping partitions older than the window. Useful only if data beyond a certain age is genuinely never queried.</w:t>
      </w:r>
    </w:p>
    <w:p>
      <w:pPr>
        <w:spacing w:after="120"/>
      </w:pPr>
      <w:r>
        <w:rPr>
          <w:rFonts w:ascii="Arial" w:cs="Arial" w:eastAsia="Arial" w:hAnsi="Arial"/>
          <w:i/>
          <w:iCs/>
          <w:sz w:val="20"/>
          <w:szCs w:val="20"/>
        </w:rPr>
        <w:t xml:space="preserve">Appropriate for: </w:t>
      </w:r>
      <w:r>
        <w:rPr>
          <w:rFonts w:ascii="Arial" w:cs="Arial" w:eastAsia="Arial" w:hAnsi="Arial"/>
          <w:sz w:val="20"/>
          <w:szCs w:val="20"/>
        </w:rPr>
        <w:t xml:space="preserve">Potentially applicable to FactTimesheet or DimSimulatorIssueActivityNote if business users confirm no reporting need for data beyond N years. Requires explicit data retention policy discussion before implementation. Not recommended as the default starting point.</w:t>
      </w:r>
    </w:p>
    <w:p>
      <w:pPr>
        <w:pStyle w:val="Heading2"/>
        <w:spacing w:before="240" w:after="80"/>
      </w:pPr>
      <w:r>
        <w:rPr>
          <w:rFonts w:ascii="Arial" w:cs="Arial" w:eastAsia="Arial" w:hAnsi="Arial"/>
          <w:b/>
          <w:bCs/>
          <w:color w:val="2E75B6"/>
          <w:sz w:val="24"/>
          <w:szCs w:val="24"/>
        </w:rPr>
        <w:t xml:space="preserve">Option D — Hybrid: Partition Qualifying Tables Only (Recommended)</w:t>
      </w:r>
    </w:p>
    <w:p>
      <w:pPr>
        <w:spacing w:after="120"/>
      </w:pPr>
      <w:r>
        <w:rPr>
          <w:rFonts w:ascii="Arial" w:cs="Arial" w:eastAsia="Arial" w:hAnsi="Arial"/>
          <w:sz w:val="20"/>
          <w:szCs w:val="20"/>
        </w:rPr>
        <w:t xml:space="preserve">Apply year-based partitioning (Option B) only to tables that demonstrably benefit based on row count. Leave all tables below a meaningful size threshold as single-partition. This is the pragmatic path that concentrates engineering effort where the processing gain is real.</w:t>
      </w: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Partition the nine tables at or above 1M rows. Leave all others as single-partition. Revisit annually as smaller tables grow.</w:t>
      </w:r>
    </w:p>
    <w:p>
      <w:r>
        <w:rPr>
          <w:sz w:val="20"/>
          <w:szCs w:val="20"/>
        </w:rPr>
        <w:t xml:space="preserve"/>
      </w:r>
    </w:p>
    <w:p>
      <w:pPr>
        <w:pStyle w:val="Heading2"/>
        <w:spacing w:before="240" w:after="80"/>
      </w:pPr>
      <w:r>
        <w:rPr>
          <w:rFonts w:ascii="Arial" w:cs="Arial" w:eastAsia="Arial" w:hAnsi="Arial"/>
          <w:b/>
          <w:bCs/>
          <w:color w:val="2E75B6"/>
          <w:sz w:val="24"/>
          <w:szCs w:val="24"/>
        </w:rPr>
        <w:t xml:space="preserve">7.1 Strategy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 A
(No change)</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 B
(Year-based)</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 C
(Rolling window)</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 D
(Hybrid)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Impl. effort</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Processing time saving</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Med-High</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Targeted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Query performance</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Targeted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Deploy script changes</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Ongoing mgmt</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 (annual)</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Low-Med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Recommended for us</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Core</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Optional add-on</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1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Option D</w:t>
            </w:r>
          </w:p>
        </w:tc>
      </w:tr>
    </w:tbl>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8. Deployment &amp; Pipeline Implications</w:t>
      </w:r>
    </w:p>
    <w:p>
      <w:pPr>
        <w:pStyle w:val="Heading2"/>
        <w:spacing w:before="240" w:after="80"/>
      </w:pPr>
      <w:r>
        <w:rPr>
          <w:rFonts w:ascii="Arial" w:cs="Arial" w:eastAsia="Arial" w:hAnsi="Arial"/>
          <w:b/>
          <w:bCs/>
          <w:color w:val="2E75B6"/>
          <w:sz w:val="24"/>
          <w:szCs w:val="24"/>
        </w:rPr>
        <w:t xml:space="preserve">8.1 The createOrReplace Problem — Top Engineering Constraint</w:t>
      </w:r>
    </w:p>
    <w:p>
      <w:pPr>
        <w:spacing w:after="120"/>
      </w:pPr>
      <w:r>
        <w:rPr>
          <w:rFonts w:ascii="Arial" w:cs="Arial" w:eastAsia="Arial" w:hAnsi="Arial"/>
          <w:sz w:val="20"/>
          <w:szCs w:val="20"/>
        </w:rPr>
        <w:t xml:space="preserve">When SSAS-Deploy.ps1 issues a createOrReplace against the SimulationsAnalytics database, it replaces the entire model definition including all partition definitions. Every table reverts to a single default partition. Any partitioning we implement will be silently destroyed on every deployment unless we engineer around this explicitly.</w:t>
      </w:r>
    </w:p>
    <w:p>
      <w:pPr>
        <w:spacing w:after="120"/>
      </w:pPr>
      <w:r>
        <w:rPr>
          <w:rFonts w:ascii="Arial" w:cs="Arial" w:eastAsia="Arial" w:hAnsi="Arial"/>
          <w:sz w:val="20"/>
          <w:szCs w:val="20"/>
        </w:rPr>
        <w:t xml:space="preserve">Two implementation approaches:</w:t>
      </w:r>
    </w:p>
    <w:p>
      <w:pPr>
        <w:pStyle w:val="ListParagraph"/>
        <w:numPr>
          <w:ilvl w:val="0"/>
          <w:numId w:val="3"/>
        </w:numPr>
        <w:spacing w:after="80"/>
      </w:pPr>
      <w:r>
        <w:rPr>
          <w:rFonts w:ascii="Arial" w:cs="Arial" w:eastAsia="Arial" w:hAnsi="Arial"/>
          <w:b/>
          <w:bCs/>
          <w:sz w:val="20"/>
          <w:szCs w:val="20"/>
        </w:rPr>
        <w:t xml:space="preserve">Post-Deploy Partition Rebuild (Recommended): </w:t>
      </w:r>
      <w:r>
        <w:rPr>
          <w:rFonts w:ascii="Arial" w:cs="Arial" w:eastAsia="Arial" w:hAnsi="Arial"/>
          <w:sz w:val="20"/>
          <w:szCs w:val="20"/>
        </w:rPr>
        <w:t xml:space="preserve">After the createOrReplace completes, a second TMSL operation loop issues createOrReplace for each partition on each qualifying table. This can be embedded in SSAS-Deploy.ps1 as a post-deploy step or called from a new Manage-Partitions.ps1 script in the same ADO pipeline stage. Simpler and consistent with our current deployment pattern.</w:t>
      </w:r>
    </w:p>
    <w:p>
      <w:pPr>
        <w:pStyle w:val="ListParagraph"/>
        <w:numPr>
          <w:ilvl w:val="0"/>
          <w:numId w:val="3"/>
        </w:numPr>
        <w:spacing w:after="120"/>
      </w:pPr>
      <w:r>
        <w:rPr>
          <w:rFonts w:ascii="Arial" w:cs="Arial" w:eastAsia="Arial" w:hAnsi="Arial"/>
          <w:b/>
          <w:bCs/>
          <w:sz w:val="20"/>
          <w:szCs w:val="20"/>
        </w:rPr>
        <w:t xml:space="preserve">Partition-Aware TMSL alter (Future Consideration): </w:t>
      </w:r>
      <w:r>
        <w:rPr>
          <w:rFonts w:ascii="Arial" w:cs="Arial" w:eastAsia="Arial" w:hAnsi="Arial"/>
          <w:sz w:val="20"/>
          <w:szCs w:val="20"/>
        </w:rPr>
        <w:t xml:space="preserve">Instead of createOrReplace at the database level, switch to an alter operation that updates only model metadata without touching existing partition objects. More surgical but significantly more complex to implement and requires careful handling of structural schema changes.</w:t>
      </w:r>
    </w:p>
    <w:p>
      <w:pPr>
        <w:pStyle w:val="Heading2"/>
        <w:spacing w:before="240" w:after="80"/>
      </w:pPr>
      <w:r>
        <w:rPr>
          <w:rFonts w:ascii="Arial" w:cs="Arial" w:eastAsia="Arial" w:hAnsi="Arial"/>
          <w:b/>
          <w:bCs/>
          <w:color w:val="2E75B6"/>
          <w:sz w:val="24"/>
          <w:szCs w:val="24"/>
        </w:rPr>
        <w:t xml:space="preserve">8.2 ADO Pipeline Changes</w:t>
      </w:r>
    </w:p>
    <w:p>
      <w:pPr>
        <w:spacing w:after="120"/>
      </w:pPr>
      <w:r>
        <w:rPr>
          <w:rFonts w:ascii="Arial" w:cs="Arial" w:eastAsia="Arial" w:hAnsi="Arial"/>
          <w:sz w:val="20"/>
          <w:szCs w:val="20"/>
        </w:rPr>
        <w:t xml:space="preserve">The process pipeline will need to distinguish between processing modes:</w:t>
      </w:r>
    </w:p>
    <w:p>
      <w:pPr>
        <w:pStyle w:val="ListParagraph"/>
        <w:numPr>
          <w:ilvl w:val="0"/>
          <w:numId w:val="2"/>
        </w:numPr>
        <w:spacing w:after="60"/>
        <w:ind w:left="720" w:hanging="360"/>
      </w:pPr>
      <w:r>
        <w:rPr>
          <w:rFonts w:ascii="Arial" w:cs="Arial" w:eastAsia="Arial" w:hAnsi="Arial"/>
          <w:sz w:val="20"/>
          <w:szCs w:val="20"/>
        </w:rPr>
        <w:t xml:space="preserve">Daily / scheduled runs: Process only current-year partition on qualifying tables + full process all dimension tables</w:t>
      </w:r>
    </w:p>
    <w:p>
      <w:pPr>
        <w:pStyle w:val="ListParagraph"/>
        <w:numPr>
          <w:ilvl w:val="0"/>
          <w:numId w:val="2"/>
        </w:numPr>
        <w:spacing w:after="60"/>
        <w:ind w:left="720" w:hanging="360"/>
      </w:pPr>
      <w:r>
        <w:rPr>
          <w:rFonts w:ascii="Arial" w:cs="Arial" w:eastAsia="Arial" w:hAnsi="Arial"/>
          <w:sz w:val="20"/>
          <w:szCs w:val="20"/>
        </w:rPr>
        <w:t xml:space="preserve">Full reprocess runs (on-demand or maintenance window): Process all partitions on all tables in the normal sequence</w:t>
      </w:r>
    </w:p>
    <w:p>
      <w:pPr>
        <w:spacing w:after="120"/>
      </w:pPr>
      <w:r>
        <w:rPr>
          <w:rFonts w:ascii="Arial" w:cs="Arial" w:eastAsia="Arial" w:hAnsi="Arial"/>
          <w:sz w:val="20"/>
          <w:szCs w:val="20"/>
        </w:rPr>
        <w:t xml:space="preserve">This can be controlled via a pipeline parameter (e.g., ProcessMode: incremental | full) passed into SSAS-Process.ps1.</w:t>
      </w:r>
    </w:p>
    <w:p>
      <w:pPr>
        <w:pStyle w:val="Heading2"/>
        <w:spacing w:before="240" w:after="80"/>
      </w:pPr>
      <w:r>
        <w:rPr>
          <w:rFonts w:ascii="Arial" w:cs="Arial" w:eastAsia="Arial" w:hAnsi="Arial"/>
          <w:b/>
          <w:bCs/>
          <w:color w:val="2E75B6"/>
          <w:sz w:val="24"/>
          <w:szCs w:val="24"/>
        </w:rPr>
        <w:t xml:space="preserve">8.3 Script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Script / Artifact</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 Required</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SSAS-Deploy.ps1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Add post-deploy partition rebuild step</w:t>
            </w:r>
          </w:p>
        </w:tc>
        <w:tc>
          <w:tcPr>
            <w:tcW w:type="dxa" w:w="29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SSAS-Process.ps1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Add ProcessMode parameter; incremental vs. full logic</w:t>
            </w:r>
          </w:p>
        </w:tc>
        <w:tc>
          <w:tcPr>
            <w:tcW w:type="dxa" w:w="29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ADO process pipeline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Add ProcessMode parameter; wire to PS script</w:t>
            </w:r>
          </w:p>
        </w:tc>
        <w:tc>
          <w:tcPr>
            <w:tcW w:type="dxa" w:w="29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Manage-Partitions.ps1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New script: idempotent partition create/verify utility</w:t>
            </w:r>
          </w:p>
        </w:tc>
        <w:tc>
          <w:tcPr>
            <w:tcW w:type="dxa" w:w="29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ADO deploy pipeline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Ensure partition rebuild step is invoked post-deploy</w:t>
            </w:r>
          </w:p>
        </w:tc>
        <w:tc>
          <w:tcPr>
            <w:tcW w:type="dxa" w:w="29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r>
    </w:tbl>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9. Incremental Processing Pattern (Post-Partitioning)</w:t>
      </w:r>
    </w:p>
    <w:p>
      <w:pPr>
        <w:spacing w:after="120"/>
      </w:pPr>
      <w:r>
        <w:rPr>
          <w:rFonts w:ascii="Arial" w:cs="Arial" w:eastAsia="Arial" w:hAnsi="Arial"/>
          <w:sz w:val="20"/>
          <w:szCs w:val="20"/>
        </w:rPr>
        <w:t xml:space="preserve">Once year-based partitioning is in place, the daily pipeline shifts from "reload everything" to "reload only the active tier." The three active partitions — Current Year, Previous Year, and Catch-All — are refreshed on every run. All frozen (historical year) partitions are skipped entirely.</w:t>
      </w:r>
    </w:p>
    <w:p>
      <w:pPr>
        <w:pStyle w:val="Heading2"/>
        <w:spacing w:before="240" w:after="80"/>
      </w:pPr>
      <w:r>
        <w:rPr>
          <w:rFonts w:ascii="Arial" w:cs="Arial" w:eastAsia="Arial" w:hAnsi="Arial"/>
          <w:b/>
          <w:bCs/>
          <w:color w:val="2E75B6"/>
          <w:sz w:val="24"/>
          <w:szCs w:val="24"/>
        </w:rPr>
        <w:t xml:space="preserve">9.1 Daily Run Sequence</w:t>
      </w:r>
    </w:p>
    <w:p>
      <w:pPr>
        <w:pStyle w:val="ListParagraph"/>
        <w:numPr>
          <w:ilvl w:val="0"/>
          <w:numId w:val="3"/>
        </w:numPr>
        <w:spacing w:after="60"/>
      </w:pPr>
      <w:r>
        <w:rPr>
          <w:rFonts w:ascii="Arial" w:cs="Arial" w:eastAsia="Arial" w:hAnsi="Arial"/>
          <w:sz w:val="20"/>
          <w:szCs w:val="20"/>
        </w:rPr>
        <w:t xml:space="preserve">All dimension tables — full process on every run. They are relatively small and SCD-managed via dbt merge; partial processing of dimensions is not recommended.</w:t>
      </w:r>
    </w:p>
    <w:p>
      <w:pPr>
        <w:pStyle w:val="ListParagraph"/>
        <w:numPr>
          <w:ilvl w:val="0"/>
          <w:numId w:val="3"/>
        </w:numPr>
        <w:spacing w:after="60"/>
      </w:pPr>
      <w:r>
        <w:rPr>
          <w:rFonts w:ascii="Arial" w:cs="Arial" w:eastAsia="Arial" w:hAnsi="Arial"/>
          <w:b/>
          <w:bCs/>
          <w:sz w:val="20"/>
          <w:szCs w:val="20"/>
        </w:rPr>
        <w:t xml:space="preserve">Active partitions on each qualifying table (3 partitions each): </w:t>
      </w:r>
      <w:r>
        <w:rPr>
          <w:rFonts w:ascii="Arial" w:cs="Arial" w:eastAsia="Arial" w:hAnsi="Arial"/>
          <w:sz w:val="20"/>
          <w:szCs w:val="20"/>
        </w:rPr>
        <w:t xml:space="preserve">Current Year, Previous Year, and Catch-All. These three are refreshed on every daily run.</w:t>
      </w:r>
    </w:p>
    <w:p>
      <w:pPr>
        <w:pStyle w:val="ListParagraph"/>
        <w:numPr>
          <w:ilvl w:val="0"/>
          <w:numId w:val="3"/>
        </w:numPr>
        <w:spacing w:after="60"/>
      </w:pPr>
      <w:r>
        <w:rPr>
          <w:rFonts w:ascii="Arial" w:cs="Arial" w:eastAsia="Arial" w:hAnsi="Arial"/>
          <w:b/>
          <w:bCs/>
          <w:sz w:val="20"/>
          <w:szCs w:val="20"/>
        </w:rPr>
        <w:t xml:space="preserve">Frozen partitions (all historical years prior to Previous Year) — skipped. </w:t>
      </w:r>
      <w:r>
        <w:rPr>
          <w:rFonts w:ascii="Arial" w:cs="Arial" w:eastAsia="Arial" w:hAnsi="Arial"/>
          <w:sz w:val="20"/>
          <w:szCs w:val="20"/>
        </w:rPr>
        <w:t xml:space="preserve">No data movement, no processing cost. Reprocessed only when an explicit historical correction is required.</w:t>
      </w:r>
    </w:p>
    <w:p>
      <w:pPr>
        <w:pStyle w:val="ListParagraph"/>
        <w:numPr>
          <w:ilvl w:val="0"/>
          <w:numId w:val="3"/>
        </w:numPr>
        <w:spacing w:after="120"/>
      </w:pPr>
      <w:r>
        <w:rPr>
          <w:rFonts w:ascii="Arial" w:cs="Arial" w:eastAsia="Arial" w:hAnsi="Arial"/>
          <w:sz w:val="20"/>
          <w:szCs w:val="20"/>
        </w:rPr>
        <w:t xml:space="preserve">Single database-level calculate — after all table/partition data loads complete.</w:t>
      </w:r>
    </w:p>
    <w:p>
      <w:pPr>
        <w:pStyle w:val="Heading2"/>
        <w:spacing w:before="240" w:after="80"/>
      </w:pPr>
      <w:r>
        <w:rPr>
          <w:rFonts w:ascii="Arial" w:cs="Arial" w:eastAsia="Arial" w:hAnsi="Arial"/>
          <w:b/>
          <w:bCs/>
          <w:color w:val="2E75B6"/>
          <w:sz w:val="24"/>
          <w:szCs w:val="24"/>
        </w:rPr>
        <w:t xml:space="preserve">9.2 Why Include Previous Year as Active?</w:t>
      </w:r>
    </w:p>
    <w:p>
      <w:pPr>
        <w:spacing w:after="120"/>
      </w:pPr>
      <w:r>
        <w:rPr>
          <w:rFonts w:ascii="Arial" w:cs="Arial" w:eastAsia="Arial" w:hAnsi="Arial"/>
          <w:sz w:val="20"/>
          <w:szCs w:val="20"/>
        </w:rPr>
        <w:t xml:space="preserve">Late-arriving records and retroactive corrections are common in our source systems. Timesheet entries, issue activity notes, and cost estimates can arrive or be modified weeks or even months after the period they belong to. Keeping the Previous Year partition in the active tier ensures these corrections land in the cube without requiring a manual historical-correction process for the vast majority of cases.</w:t>
      </w:r>
    </w:p>
    <w:p>
      <w:pPr>
        <w:spacing w:after="120"/>
      </w:pPr>
      <w:r>
        <w:rPr>
          <w:rFonts w:ascii="Arial" w:cs="Arial" w:eastAsia="Arial" w:hAnsi="Arial"/>
          <w:sz w:val="20"/>
          <w:szCs w:val="20"/>
        </w:rPr>
        <w:t xml:space="preserve">The Previous Year partition transitions to the frozen tier at the start of each new calendar year, at which point corrections to that year would require an on-demand historical reprocess.</w:t>
      </w:r>
    </w:p>
    <w:p>
      <w:pPr>
        <w:pStyle w:val="Heading2"/>
        <w:spacing w:before="240" w:after="80"/>
      </w:pPr>
      <w:r>
        <w:rPr>
          <w:rFonts w:ascii="Arial" w:cs="Arial" w:eastAsia="Arial" w:hAnsi="Arial"/>
          <w:b/>
          <w:bCs/>
          <w:color w:val="2E75B6"/>
          <w:sz w:val="24"/>
          <w:szCs w:val="24"/>
        </w:rPr>
        <w:t xml:space="preserve">9.3 Why Include a Catch-All Partition?</w:t>
      </w:r>
    </w:p>
    <w:p>
      <w:pPr>
        <w:spacing w:after="120"/>
      </w:pPr>
      <w:r>
        <w:rPr>
          <w:rFonts w:ascii="Arial" w:cs="Arial" w:eastAsia="Arial" w:hAnsi="Arial"/>
          <w:sz w:val="20"/>
          <w:szCs w:val="20"/>
        </w:rPr>
        <w:t xml:space="preserve">Any row in a qualifying table that has a null DateKey, a malformed date value, or a date that falls outside the defined year partitions must go somewhere. Without a Catch-All partition, those rows are silently lost at processing time — they simply do not load. The Catch-All partition query uses a NOT IN (year list) or IS NULL filter to capture every row that does not belong to a named year partition. It is processed on every daily run alongside the two active year partitions.</w:t>
      </w:r>
    </w:p>
    <w:p>
      <w:pPr>
        <w:pStyle w:val="Heading2"/>
        <w:spacing w:before="240" w:after="80"/>
      </w:pPr>
      <w:r>
        <w:rPr>
          <w:rFonts w:ascii="Arial" w:cs="Arial" w:eastAsia="Arial" w:hAnsi="Arial"/>
          <w:b/>
          <w:bCs/>
          <w:color w:val="2E75B6"/>
          <w:sz w:val="24"/>
          <w:szCs w:val="24"/>
        </w:rPr>
        <w:t xml:space="preserve">9.4 Year-Boundary Rollover</w:t>
      </w:r>
    </w:p>
    <w:p>
      <w:pPr>
        <w:spacing w:after="120"/>
      </w:pPr>
      <w:r>
        <w:rPr>
          <w:rFonts w:ascii="Arial" w:cs="Arial" w:eastAsia="Arial" w:hAnsi="Arial"/>
          <w:sz w:val="20"/>
          <w:szCs w:val="20"/>
        </w:rPr>
        <w:t xml:space="preserve">At the start of each new calendar year, the following configuration changes are required:</w:t>
      </w:r>
    </w:p>
    <w:p>
      <w:pPr>
        <w:pStyle w:val="ListParagraph"/>
        <w:numPr>
          <w:ilvl w:val="0"/>
          <w:numId w:val="2"/>
        </w:numPr>
        <w:spacing w:after="60"/>
        <w:ind w:left="720" w:hanging="360"/>
      </w:pPr>
      <w:r>
        <w:rPr>
          <w:rFonts w:ascii="Arial" w:cs="Arial" w:eastAsia="Arial" w:hAnsi="Arial"/>
          <w:sz w:val="20"/>
          <w:szCs w:val="20"/>
        </w:rPr>
        <w:t xml:space="preserve">Add a new Current Year partition with the appropriate DateKey range</w:t>
      </w:r>
    </w:p>
    <w:p>
      <w:pPr>
        <w:pStyle w:val="ListParagraph"/>
        <w:numPr>
          <w:ilvl w:val="0"/>
          <w:numId w:val="2"/>
        </w:numPr>
        <w:spacing w:after="60"/>
        <w:ind w:left="720" w:hanging="360"/>
      </w:pPr>
      <w:r>
        <w:rPr>
          <w:rFonts w:ascii="Arial" w:cs="Arial" w:eastAsia="Arial" w:hAnsi="Arial"/>
          <w:sz w:val="20"/>
          <w:szCs w:val="20"/>
        </w:rPr>
        <w:t xml:space="preserve">Rename or re-classify the former Current Year partition as Previous Year (or simply leave it in place — the active partition list in the process script is updated to include it)</w:t>
      </w:r>
    </w:p>
    <w:p>
      <w:pPr>
        <w:pStyle w:val="ListParagraph"/>
        <w:numPr>
          <w:ilvl w:val="0"/>
          <w:numId w:val="2"/>
        </w:numPr>
        <w:spacing w:after="60"/>
        <w:ind w:left="720" w:hanging="360"/>
      </w:pPr>
      <w:r>
        <w:rPr>
          <w:rFonts w:ascii="Arial" w:cs="Arial" w:eastAsia="Arial" w:hAnsi="Arial"/>
          <w:sz w:val="20"/>
          <w:szCs w:val="20"/>
        </w:rPr>
        <w:t xml:space="preserve">Move the former Previous Year partition to the frozen list in the process script</w:t>
      </w:r>
    </w:p>
    <w:p>
      <w:pPr>
        <w:pStyle w:val="ListParagraph"/>
        <w:numPr>
          <w:ilvl w:val="0"/>
          <w:numId w:val="2"/>
        </w:numPr>
        <w:spacing w:after="60"/>
        <w:ind w:left="720" w:hanging="360"/>
      </w:pPr>
      <w:r>
        <w:rPr>
          <w:rFonts w:ascii="Arial" w:cs="Arial" w:eastAsia="Arial" w:hAnsi="Arial"/>
          <w:sz w:val="20"/>
          <w:szCs w:val="20"/>
        </w:rPr>
        <w:t xml:space="preserve">No changes to the Catch-All partition are required</w:t>
      </w:r>
    </w:p>
    <w:p>
      <w:pPr>
        <w:spacing w:after="120"/>
      </w:pPr>
      <w:r>
        <w:rPr>
          <w:rFonts w:ascii="Arial" w:cs="Arial" w:eastAsia="Arial" w:hAnsi="Arial"/>
          <w:sz w:val="20"/>
          <w:szCs w:val="20"/>
        </w:rPr>
        <w:t xml:space="preserve">This rollover should be scripted and executed as part of the first pipeline run of the new year, or triggered manually. The Manage-Partitions.ps1 script should support a -RolloverYear switch to automate the sequence.</w:t>
      </w:r>
    </w:p>
    <w:p>
      <w:r>
        <w:rPr>
          <w:sz w:val="20"/>
          <w:szCs w:val="20"/>
        </w:rPr>
        <w:t xml:space="preserve"/>
      </w:r>
    </w:p>
    <w:p>
      <w:pPr>
        <w:pStyle w:val="Heading1"/>
        <w:spacing w:before="360" w:after="120"/>
      </w:pPr>
      <w:r>
        <w:rPr>
          <w:rFonts w:ascii="Arial" w:cs="Arial" w:eastAsia="Arial" w:hAnsi="Arial"/>
          <w:b/>
          <w:bCs/>
          <w:color w:val="1F3864"/>
          <w:sz w:val="32"/>
          <w:szCs w:val="32"/>
        </w:rPr>
        <w:t xml:space="preserve">10. Power BI Report Server Considerations</w:t>
      </w:r>
    </w:p>
    <w:p>
      <w:pPr>
        <w:pStyle w:val="Heading2"/>
        <w:spacing w:before="240" w:after="80"/>
      </w:pPr>
      <w:r>
        <w:rPr>
          <w:rFonts w:ascii="Arial" w:cs="Arial" w:eastAsia="Arial" w:hAnsi="Arial"/>
          <w:b/>
          <w:bCs/>
          <w:color w:val="2E75B6"/>
          <w:sz w:val="24"/>
          <w:szCs w:val="24"/>
        </w:rPr>
        <w:t xml:space="preserve">10.1 Reports Are Partition-Unaware — No Report Changes Required</w:t>
      </w:r>
    </w:p>
    <w:p>
      <w:pPr>
        <w:spacing w:after="120"/>
      </w:pPr>
      <w:r>
        <w:rPr>
          <w:rFonts w:ascii="Arial" w:cs="Arial" w:eastAsia="Arial" w:hAnsi="Arial"/>
          <w:sz w:val="20"/>
          <w:szCs w:val="20"/>
        </w:rPr>
        <w:t xml:space="preserve">Power BI reports (.pbix, catalog type 13) and paginated reports (.rdl, catalog type 2) connect to the SimulationsAnalytics cube via the Analysis Services connection. They query the semantic model and have no visibility into the underlying partition structure. A partitioned FactSimulatorIssueActivity is indistinguishable from a single-partition version from any report's perspective.</w:t>
      </w:r>
    </w:p>
    <w:p>
      <w:pPr>
        <w:pBdr>
          <w:left w:val="single" w:color="548235" w:sz="10"/>
        </w:pBdr>
        <w:shd w:fill="E2EFDA" w:val="clear"/>
        <w:spacing w:after="120"/>
        <w:ind w:left="360" w:right="360"/>
      </w:pPr>
      <w:r>
        <w:rPr>
          <w:rFonts w:ascii="Arial" w:cs="Arial" w:eastAsia="Arial" w:hAnsi="Arial"/>
          <w:b/>
          <w:bCs/>
          <w:color w:val="375623"/>
          <w:sz w:val="20"/>
          <w:szCs w:val="20"/>
        </w:rPr>
        <w:t xml:space="preserve">No report modifications are required as a result of implementing partitioning. All existing Power BI and paginated reports will continue to function without changes.</w:t>
      </w:r>
    </w:p>
    <w:p>
      <w:pPr>
        <w:pStyle w:val="Heading2"/>
        <w:spacing w:before="240" w:after="80"/>
      </w:pPr>
      <w:r>
        <w:rPr>
          <w:rFonts w:ascii="Arial" w:cs="Arial" w:eastAsia="Arial" w:hAnsi="Arial"/>
          <w:b/>
          <w:bCs/>
          <w:color w:val="2E75B6"/>
          <w:sz w:val="24"/>
          <w:szCs w:val="24"/>
        </w:rPr>
        <w:t xml:space="preserve">10.2 Query Performance Impact on Reports</w:t>
      </w:r>
    </w:p>
    <w:p>
      <w:pPr>
        <w:spacing w:after="120"/>
      </w:pPr>
      <w:r>
        <w:rPr>
          <w:rFonts w:ascii="Arial" w:cs="Arial" w:eastAsia="Arial" w:hAnsi="Arial"/>
          <w:sz w:val="20"/>
          <w:szCs w:val="20"/>
        </w:rPr>
        <w:t xml:space="preserve">Partition elimination occurs automatically at query time when a DAX filter aligns with partition boundaries. Reports that filter on a year, period, or date range will benefit from this without any report-side changes. Reports that aggregate across all historical data without date filters will not see partition elimination benefits but will not be harmed.</w:t>
      </w:r>
    </w:p>
    <w:p>
      <w:pPr>
        <w:pStyle w:val="Heading2"/>
        <w:spacing w:before="240" w:after="80"/>
      </w:pPr>
      <w:r>
        <w:rPr>
          <w:rFonts w:ascii="Arial" w:cs="Arial" w:eastAsia="Arial" w:hAnsi="Arial"/>
          <w:b/>
          <w:bCs/>
          <w:color w:val="2E75B6"/>
          <w:sz w:val="24"/>
          <w:szCs w:val="24"/>
        </w:rPr>
        <w:t xml:space="preserve">10.3 Processing Window and Report Availability</w:t>
      </w:r>
    </w:p>
    <w:p>
      <w:pPr>
        <w:spacing w:after="120"/>
      </w:pPr>
      <w:r>
        <w:rPr>
          <w:rFonts w:ascii="Arial" w:cs="Arial" w:eastAsia="Arial" w:hAnsi="Arial"/>
          <w:sz w:val="20"/>
          <w:szCs w:val="20"/>
        </w:rPr>
        <w:t xml:space="preserve">With incremental partition processing, the daily processing window for large tables shortens significantly. SSAS handles concurrent read requests while partitions refresh, so report availability is not interrupted. The narrower processing window reduces the period during which tables are in a partially-refreshed state — a reliability improvement for the reporting layer.</w:t>
      </w:r>
    </w:p>
    <w:p>
      <w:pPr>
        <w:spacing w:after="120"/>
      </w:pPr>
      <w:r>
        <w:rPr>
          <w:rFonts w:ascii="Arial" w:cs="Arial" w:eastAsia="Arial" w:hAnsi="Arial"/>
          <w:sz w:val="20"/>
          <w:szCs w:val="20"/>
        </w:rPr>
        <w:t xml:space="preserve">If there are known SLA commitments for report data freshness, those should be factored into the decision about which partitions are refreshed on daily runs vs. deferred to maintenance windows.</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11. Discussion Questions for the Meeting</w:t>
      </w:r>
    </w:p>
    <w:p>
      <w:pPr>
        <w:spacing w:after="120"/>
      </w:pPr>
      <w:r>
        <w:rPr>
          <w:rFonts w:ascii="Arial" w:cs="Arial" w:eastAsia="Arial" w:hAnsi="Arial"/>
          <w:sz w:val="20"/>
          <w:szCs w:val="20"/>
        </w:rPr>
        <w:t xml:space="preserve">These are the open decisions that require team input. They are sequenced — later decisions depend on earlier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800"/>
        <w:gridCol w:w="32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1</w:t>
            </w:r>
          </w:p>
        </w:tc>
        <w:tc>
          <w:tcPr>
            <w:tcW w:type="dxa" w:w="5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Which fact and large-dim tables justify partitioning based on the row counts in Section 4?</w:t>
            </w:r>
          </w:p>
        </w:tc>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Confirms scope; drives all subsequent decisions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w:t>
            </w:r>
          </w:p>
        </w:tc>
        <w:tc>
          <w:tcPr>
            <w:tcW w:type="dxa" w:w="5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What is the earliest year of data in each qualifying table?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Determines how many historical partitions must be created on initial setup and whether a maintenance window is needed</w:t>
            </w:r>
          </w:p>
        </w:tc>
      </w:tr>
      <w:tr>
        <w:tc>
          <w:tcPr>
            <w:tcW w:type="dxa" w:w="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3</w:t>
            </w:r>
          </w:p>
        </w:tc>
        <w:tc>
          <w:tcPr>
            <w:tcW w:type="dxa" w:w="5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Is data ever corrected or restated for prior periods in any qualifying table?</w:t>
            </w:r>
          </w:p>
        </w:tc>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If yes, historical partitions cannot be treated as immutable — affects whether static year-based or rolling window strategy is appropriate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4</w:t>
            </w:r>
          </w:p>
        </w:tc>
        <w:tc>
          <w:tcPr>
            <w:tcW w:type="dxa" w:w="5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What are the acceptable processing time windows for daily runs today? Is there a known timeout or SLA?</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Establishes the baseline problem we are solving and how urgently</w:t>
            </w:r>
          </w:p>
        </w:tc>
      </w:tr>
      <w:tr>
        <w:tc>
          <w:tcPr>
            <w:tcW w:type="dxa" w:w="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5</w:t>
            </w:r>
          </w:p>
        </w:tc>
        <w:tc>
          <w:tcPr>
            <w:tcW w:type="dxa" w:w="5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 DimSimulatorIssue, DimSimulatorIssueActivityNote, and DimTimesheetChargeCode — is there a reliable date key we can partition on?</w:t>
            </w:r>
          </w:p>
        </w:tc>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Large Dim tables are unusual candidates; need to confirm partition key availability before committing them</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6</w:t>
            </w:r>
          </w:p>
        </w:tc>
        <w:tc>
          <w:tcPr>
            <w:tcW w:type="dxa" w:w="5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Who owns partition management going forward (annual year-rollover, new partition creation)?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Must be a documented, assigned responsibility to avoid drift</w:t>
            </w:r>
          </w:p>
        </w:tc>
      </w:tr>
      <w:tr>
        <w:tc>
          <w:tcPr>
            <w:tcW w:type="dxa" w:w="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7</w:t>
            </w:r>
          </w:p>
        </w:tc>
        <w:tc>
          <w:tcPr>
            <w:tcW w:type="dxa" w:w="5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 we embed partition management inside SSAS-Deploy.ps1 or implement a standalone Manage-Partitions.ps1?</w:t>
            </w:r>
          </w:p>
        </w:tc>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Affects script architecture and ADO pipeline design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8</w:t>
            </w:r>
          </w:p>
        </w:tc>
        <w:tc>
          <w:tcPr>
            <w:tcW w:type="dxa" w:w="5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 we implement all qualifying tables at once or phase the rollout?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Risk management — phased approach is lower risk but delays full benefit</w:t>
            </w:r>
          </w:p>
        </w:tc>
      </w:tr>
    </w:tbl>
    <w:p>
      <w:r>
        <w:rPr>
          <w:sz w:val="20"/>
          <w:szCs w:val="20"/>
        </w:rPr>
        <w:t xml:space="preserve"/>
      </w:r>
    </w:p>
    <w:p>
      <w:pPr>
        <w:pStyle w:val="Heading1"/>
        <w:spacing w:before="360" w:after="120"/>
      </w:pPr>
      <w:r>
        <w:rPr>
          <w:rFonts w:ascii="Arial" w:cs="Arial" w:eastAsia="Arial" w:hAnsi="Arial"/>
          <w:b/>
          <w:bCs/>
          <w:color w:val="1F3864"/>
          <w:sz w:val="32"/>
          <w:szCs w:val="32"/>
        </w:rPr>
        <w:t xml:space="preserve">12. Recommended Next Steps</w:t>
      </w:r>
    </w:p>
    <w:p>
      <w:pPr>
        <w:spacing w:after="120"/>
      </w:pPr>
      <w:r>
        <w:rPr>
          <w:rFonts w:ascii="Arial" w:cs="Arial" w:eastAsia="Arial" w:hAnsi="Arial"/>
          <w:sz w:val="20"/>
          <w:szCs w:val="20"/>
        </w:rPr>
        <w:t xml:space="preserve">Proposed sequenced action items following team alignment:</w:t>
      </w:r>
    </w:p>
    <w:p>
      <w:pPr>
        <w:pStyle w:val="ListParagraph"/>
        <w:numPr>
          <w:ilvl w:val="0"/>
          <w:numId w:val="3"/>
        </w:numPr>
        <w:spacing w:after="60"/>
      </w:pPr>
      <w:r>
        <w:rPr>
          <w:rFonts w:ascii="Arial" w:cs="Arial" w:eastAsia="Arial" w:hAnsi="Arial"/>
          <w:b/>
          <w:bCs/>
          <w:sz w:val="20"/>
          <w:szCs w:val="20"/>
        </w:rPr>
        <w:t xml:space="preserve">Confirm qualifying tables: </w:t>
      </w:r>
      <w:r>
        <w:rPr>
          <w:rFonts w:ascii="Arial" w:cs="Arial" w:eastAsia="Arial" w:hAnsi="Arial"/>
          <w:sz w:val="20"/>
          <w:szCs w:val="20"/>
        </w:rPr>
        <w:t xml:space="preserve">Using UAT row counts and discussion outcomes, finalize which tables will be partitioned and at what granularity</w:t>
      </w:r>
    </w:p>
    <w:p>
      <w:pPr>
        <w:pStyle w:val="ListParagraph"/>
        <w:numPr>
          <w:ilvl w:val="0"/>
          <w:numId w:val="3"/>
        </w:numPr>
        <w:spacing w:after="60"/>
      </w:pPr>
      <w:r>
        <w:rPr>
          <w:rFonts w:ascii="Arial" w:cs="Arial" w:eastAsia="Arial" w:hAnsi="Arial"/>
          <w:b/>
          <w:bCs/>
          <w:sz w:val="20"/>
          <w:szCs w:val="20"/>
        </w:rPr>
        <w:t xml:space="preserve">Verify earliest data year per table: </w:t>
      </w:r>
      <w:r>
        <w:rPr>
          <w:rFonts w:ascii="Arial" w:cs="Arial" w:eastAsia="Arial" w:hAnsi="Arial"/>
          <w:sz w:val="20"/>
          <w:szCs w:val="20"/>
        </w:rPr>
        <w:t xml:space="preserve">Run date-range queries against SimulationsAnalytics in DEV/UAT to determine how many historical partitions are needed</w:t>
      </w:r>
    </w:p>
    <w:p>
      <w:pPr>
        <w:pStyle w:val="ListParagraph"/>
        <w:numPr>
          <w:ilvl w:val="0"/>
          <w:numId w:val="3"/>
        </w:numPr>
        <w:spacing w:after="60"/>
      </w:pPr>
      <w:r>
        <w:rPr>
          <w:rFonts w:ascii="Arial" w:cs="Arial" w:eastAsia="Arial" w:hAnsi="Arial"/>
          <w:b/>
          <w:bCs/>
          <w:sz w:val="20"/>
          <w:szCs w:val="20"/>
        </w:rPr>
        <w:t xml:space="preserve">Confirm partition key columns: </w:t>
      </w:r>
      <w:r>
        <w:rPr>
          <w:rFonts w:ascii="Arial" w:cs="Arial" w:eastAsia="Arial" w:hAnsi="Arial"/>
          <w:sz w:val="20"/>
          <w:szCs w:val="20"/>
        </w:rPr>
        <w:t xml:space="preserve">Verify which date key column is appropriate for each candidate table, especially the large Dim tables</w:t>
      </w:r>
    </w:p>
    <w:p>
      <w:pPr>
        <w:pStyle w:val="ListParagraph"/>
        <w:numPr>
          <w:ilvl w:val="0"/>
          <w:numId w:val="3"/>
        </w:numPr>
        <w:spacing w:after="60"/>
      </w:pPr>
      <w:r>
        <w:rPr>
          <w:rFonts w:ascii="Arial" w:cs="Arial" w:eastAsia="Arial" w:hAnsi="Arial"/>
          <w:b/>
          <w:bCs/>
          <w:sz w:val="20"/>
          <w:szCs w:val="20"/>
        </w:rPr>
        <w:t xml:space="preserve">Prototype on DEV: </w:t>
      </w:r>
      <w:r>
        <w:rPr>
          <w:rFonts w:ascii="Arial" w:cs="Arial" w:eastAsia="Arial" w:hAnsi="Arial"/>
          <w:sz w:val="20"/>
          <w:szCs w:val="20"/>
        </w:rPr>
        <w:t xml:space="preserve">Manually create year-based partitions on one qualifying table (FactTimesheet recommended as highest volume) in DEV via SSMS; verify data loads correctly and reports function normally</w:t>
      </w:r>
    </w:p>
    <w:p>
      <w:pPr>
        <w:pStyle w:val="ListParagraph"/>
        <w:numPr>
          <w:ilvl w:val="0"/>
          <w:numId w:val="3"/>
        </w:numPr>
        <w:spacing w:after="60"/>
      </w:pPr>
      <w:r>
        <w:rPr>
          <w:rFonts w:ascii="Arial" w:cs="Arial" w:eastAsia="Arial" w:hAnsi="Arial"/>
          <w:b/>
          <w:bCs/>
          <w:sz w:val="20"/>
          <w:szCs w:val="20"/>
        </w:rPr>
        <w:t xml:space="preserve">Build Manage-Partitions.ps1: </w:t>
      </w:r>
      <w:r>
        <w:rPr>
          <w:rFonts w:ascii="Arial" w:cs="Arial" w:eastAsia="Arial" w:hAnsi="Arial"/>
          <w:sz w:val="20"/>
          <w:szCs w:val="20"/>
        </w:rPr>
        <w:t xml:space="preserve">Script the partition creation logic for confirmed tables; design for idempotency (create-if-not-exists semantics)</w:t>
      </w:r>
    </w:p>
    <w:p>
      <w:pPr>
        <w:pStyle w:val="ListParagraph"/>
        <w:numPr>
          <w:ilvl w:val="0"/>
          <w:numId w:val="3"/>
        </w:numPr>
        <w:spacing w:after="60"/>
      </w:pPr>
      <w:r>
        <w:rPr>
          <w:rFonts w:ascii="Arial" w:cs="Arial" w:eastAsia="Arial" w:hAnsi="Arial"/>
          <w:b/>
          <w:bCs/>
          <w:sz w:val="20"/>
          <w:szCs w:val="20"/>
        </w:rPr>
        <w:t xml:space="preserve">Update SSAS-Deploy.ps1: </w:t>
      </w:r>
      <w:r>
        <w:rPr>
          <w:rFonts w:ascii="Arial" w:cs="Arial" w:eastAsia="Arial" w:hAnsi="Arial"/>
          <w:sz w:val="20"/>
          <w:szCs w:val="20"/>
        </w:rPr>
        <w:t xml:space="preserve">Wire in the post-deploy partition rebuild step</w:t>
      </w:r>
    </w:p>
    <w:p>
      <w:pPr>
        <w:pStyle w:val="ListParagraph"/>
        <w:numPr>
          <w:ilvl w:val="0"/>
          <w:numId w:val="3"/>
        </w:numPr>
        <w:spacing w:after="60"/>
      </w:pPr>
      <w:r>
        <w:rPr>
          <w:rFonts w:ascii="Arial" w:cs="Arial" w:eastAsia="Arial" w:hAnsi="Arial"/>
          <w:b/>
          <w:bCs/>
          <w:sz w:val="20"/>
          <w:szCs w:val="20"/>
        </w:rPr>
        <w:t xml:space="preserve">Update SSAS-Process.ps1: </w:t>
      </w:r>
      <w:r>
        <w:rPr>
          <w:rFonts w:ascii="Arial" w:cs="Arial" w:eastAsia="Arial" w:hAnsi="Arial"/>
          <w:sz w:val="20"/>
          <w:szCs w:val="20"/>
        </w:rPr>
        <w:t xml:space="preserve">Add ProcessMode parameter; implement incremental vs. full processing logic</w:t>
      </w:r>
    </w:p>
    <w:p>
      <w:pPr>
        <w:pStyle w:val="ListParagraph"/>
        <w:numPr>
          <w:ilvl w:val="0"/>
          <w:numId w:val="3"/>
        </w:numPr>
        <w:spacing w:after="60"/>
      </w:pPr>
      <w:r>
        <w:rPr>
          <w:rFonts w:ascii="Arial" w:cs="Arial" w:eastAsia="Arial" w:hAnsi="Arial"/>
          <w:b/>
          <w:bCs/>
          <w:sz w:val="20"/>
          <w:szCs w:val="20"/>
        </w:rPr>
        <w:t xml:space="preserve">Update ADO pipelines: </w:t>
      </w:r>
      <w:r>
        <w:rPr>
          <w:rFonts w:ascii="Arial" w:cs="Arial" w:eastAsia="Arial" w:hAnsi="Arial"/>
          <w:sz w:val="20"/>
          <w:szCs w:val="20"/>
        </w:rPr>
        <w:t xml:space="preserve">Add ProcessMode parameter to process pipeline YAML; wire to script</w:t>
      </w:r>
    </w:p>
    <w:p>
      <w:pPr>
        <w:pStyle w:val="ListParagraph"/>
        <w:numPr>
          <w:ilvl w:val="0"/>
          <w:numId w:val="3"/>
        </w:numPr>
        <w:spacing w:after="60"/>
      </w:pPr>
      <w:r>
        <w:rPr>
          <w:rFonts w:ascii="Arial" w:cs="Arial" w:eastAsia="Arial" w:hAnsi="Arial"/>
          <w:b/>
          <w:bCs/>
          <w:sz w:val="20"/>
          <w:szCs w:val="20"/>
        </w:rPr>
        <w:t xml:space="preserve">Test full deploy → process cycle on DEV: </w:t>
      </w:r>
      <w:r>
        <w:rPr>
          <w:rFonts w:ascii="Arial" w:cs="Arial" w:eastAsia="Arial" w:hAnsi="Arial"/>
          <w:sz w:val="20"/>
          <w:szCs w:val="20"/>
        </w:rPr>
        <w:t xml:space="preserve">Validate fresh deploy correctly rebuilds partitions and the process pipeline loads data correctly into each partition</w:t>
      </w:r>
    </w:p>
    <w:p>
      <w:pPr>
        <w:pStyle w:val="ListParagraph"/>
        <w:numPr>
          <w:ilvl w:val="0"/>
          <w:numId w:val="3"/>
        </w:numPr>
        <w:spacing w:after="60"/>
      </w:pPr>
      <w:r>
        <w:rPr>
          <w:rFonts w:ascii="Arial" w:cs="Arial" w:eastAsia="Arial" w:hAnsi="Arial"/>
          <w:b/>
          <w:bCs/>
          <w:sz w:val="20"/>
          <w:szCs w:val="20"/>
        </w:rPr>
        <w:t xml:space="preserve">Promote to QAT / UAT / PRD: </w:t>
      </w:r>
      <w:r>
        <w:rPr>
          <w:rFonts w:ascii="Arial" w:cs="Arial" w:eastAsia="Arial" w:hAnsi="Arial"/>
          <w:sz w:val="20"/>
          <w:szCs w:val="20"/>
        </w:rPr>
        <w:t xml:space="preserve">Following standard environment promotion sequence</w:t>
      </w:r>
    </w:p>
    <w:p>
      <w:pPr>
        <w:pStyle w:val="ListParagraph"/>
        <w:numPr>
          <w:ilvl w:val="0"/>
          <w:numId w:val="3"/>
        </w:numPr>
        <w:spacing w:after="60"/>
      </w:pPr>
      <w:r>
        <w:rPr>
          <w:rFonts w:ascii="Arial" w:cs="Arial" w:eastAsia="Arial" w:hAnsi="Arial"/>
          <w:b/>
          <w:bCs/>
          <w:sz w:val="20"/>
          <w:szCs w:val="20"/>
        </w:rPr>
        <w:t xml:space="preserve">Document final partition definitions: </w:t>
      </w:r>
      <w:r>
        <w:rPr>
          <w:rFonts w:ascii="Arial" w:cs="Arial" w:eastAsia="Arial" w:hAnsi="Arial"/>
          <w:sz w:val="20"/>
          <w:szCs w:val="20"/>
        </w:rPr>
        <w:t xml:space="preserve">Record partition boundary queries for each table in the data engineering runbook</w:t>
      </w:r>
    </w:p>
    <w:p>
      <w:r>
        <w:rPr>
          <w:sz w:val="20"/>
          <w:szCs w:val="20"/>
        </w:rPr>
        <w:t xml:space="preserve"/>
      </w:r>
    </w:p>
    <w:p>
      <w:r>
        <w:rPr>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60"/>
    </w:pPr>
    <w:r>
      <w:rPr>
        <w:rFonts w:ascii="Arial" w:cs="Arial" w:eastAsia="Arial" w:hAnsi="Arial"/>
        <w:color w:val="888888"/>
        <w:sz w:val="16"/>
        <w:szCs w:val="16"/>
      </w:rPr>
      <w:t xml:space="preserve">Data Engineering  |  FlightSafety International  |  March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60"/>
    </w:pPr>
    <w:r>
      <w:rPr>
        <w:rFonts w:ascii="Arial" w:cs="Arial" w:eastAsia="Arial" w:hAnsi="Arial"/>
        <w:color w:val="666666"/>
        <w:sz w:val="16"/>
        <w:szCs w:val="16"/>
      </w:rPr>
      <w:t xml:space="preserve">SimulationsAnalytics SSAS Tabular  |  Partitioning Requirements Discovery &amp; Planning</w:t>
    </w:r>
    <w:r>
      <w:rPr>
        <w:rFonts w:ascii="Arial" w:cs="Arial" w:eastAsia="Arial" w:hAnsi="Arial"/>
        <w:sz w:val="16"/>
        <w:szCs w:val="16"/>
      </w:rPr>
      <w:t xml:space="preserve">	</w:t>
    </w:r>
    <w:r>
      <w:rPr>
        <w:rFonts w:ascii="Arial" w:cs="Arial" w:eastAsia="Arial" w:hAnsi="Arial"/>
        <w:b/>
        <w:bCs/>
        <w:color w:val="BF8F00"/>
        <w:sz w:val="16"/>
        <w:szCs w:val="16"/>
      </w:rPr>
      <w:t xml:space="preserve">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2026-03-11T14:27:30.707Z</dcterms:created>
  <dcterms:modified xsi:type="dcterms:W3CDTF">2026-03-11T14:27:30.708Z</dcterms:modified>
</cp:coreProperties>
</file>

<file path=docProps/custom.xml><?xml version="1.0" encoding="utf-8"?>
<Properties xmlns="http://schemas.openxmlformats.org/officeDocument/2006/custom-properties" xmlns:vt="http://schemas.openxmlformats.org/officeDocument/2006/docPropsVTypes"/>
</file>