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40"/>
        </w:rPr>
        <w:t>Eksplorasi Disparitas Spasial Partisipasi Ekonomi dan Pengambilan Keputusan Perempuan di 514 Kabupaten/Kota Indonesia Melalui Visualisasi Analitik</w:t>
      </w:r>
    </w:p>
    <w:p>
      <w:pPr>
        <w:spacing w:after="320"/>
        <w:jc w:val="center"/>
      </w:pPr>
      <w:r>
        <w:rPr>
          <w:b/>
          <w:sz w:val="22"/>
        </w:rPr>
        <w:t>Penulis: Tim Mahasiswa Komputasi Statistik</w:t>
        <w:br/>
      </w:r>
      <w:r>
        <w:rPr>
          <w:i/>
          <w:sz w:val="20"/>
        </w:rPr>
        <w:t>Program Studi Diploma IV Komputasi Statistik, Politeknik Statistika STIS, Jakarta, Indonesia</w:t>
        <w:br/>
      </w:r>
      <w:r>
        <w:rPr>
          <w:sz w:val="18"/>
        </w:rPr>
        <w:t>Mata Kuliah: Visualisasi Data dan Informasi (TA. 2025/2026) | Dosen: Siti Mariyah, Ph.D. &amp; Farid Ridho, M.T.</w:t>
      </w:r>
    </w:p>
    <w:p>
      <w:pPr>
        <w:spacing w:after="120"/>
        <w:jc w:val="both"/>
      </w:pPr>
      <w:r>
        <w:rPr>
          <w:b/>
          <w:i/>
        </w:rPr>
        <w:t>Abstrak—</w:t>
      </w:r>
      <w:r>
        <w:rPr>
          <w:i/>
          <w:sz w:val="18"/>
        </w:rPr>
        <w:t>Disparitas gender dalam partisipasi ekonomi dan pengambilan keputusan publik masih menjadi tantangan mendasar pembangunan berkelanjutan di Indonesia. Penelitian ini merancang dan membangun sistem visualisasi analitik interaktif berbasis web untuk mengeksplorasi disparitas spasial keterlibatan perempuan pada 514 kabupaten/kota dan 38 provinsi di Indonesia menggunakan 8 indikator resmi Badan Pusat Statistik (BPS) tahun 2024. Sistem ini mengintegrasikan tiga taksonomi visualisasi data utama: (1) visualisasi data berdimensi tinggi menggunakan Principal Component Analysis (PCA) biplot, parallel coordinates, clustered heatmap, dan radar chart; (2) visualisasi geospasial melalui proportional symbol map, choropleth map, dan deteksi autokorelasi spasial Local Indicators of Spatial Association (LISA); serta (3) visualisasi berhierarki menggunakan interactive treemap dan sunburst chart empat level. Hasil analisis spasial membuktikan adanya autokorelasi positif yang signifikan secara statistik, baik pada indeks pengambilan keputusan (I = 0.3544, p = 0.001) maupun partisipasi ekonomi (I = 0.4503, p = 0.001). Teridentifikasi fenomena hotspot di wilayah Sulawesi Utara serta paradoks tingginya tingkat partisipasi angkatan kerja perempuan di Indonesia Timur yang tidak berbanding lurus dengan sumbangan pendapatan riil (sticky floor). Sistem visualisasi yang dibangun responsif, mengimplementasikan palet ramah buta warna (colorblind-safe Viridis), dan dideploy secara publik guna mendukung perumusan kebijakan afirmasi berbasis bukti spasial.</w:t>
      </w:r>
    </w:p>
    <w:p>
      <w:pPr>
        <w:spacing w:after="280"/>
        <w:jc w:val="both"/>
      </w:pPr>
      <w:r>
        <w:rPr>
          <w:b/>
          <w:i/>
        </w:rPr>
        <w:t>Kata Kunci—</w:t>
      </w:r>
      <w:r>
        <w:rPr>
          <w:sz w:val="18"/>
        </w:rPr>
        <w:t>Visualisasi Analitik, Disparitas Gender, 514 Kabupaten/Kota, Autokorelasi Spasial, Moran’s I, PCA Biplot, Streamlit.</w:t>
      </w:r>
    </w:p>
    <w:p>
      <w:pPr>
        <w:sectPr>
          <w:pgSz w:w="12240" w:h="15840"/>
          <w:pgMar w:top="1080" w:right="900" w:bottom="1440" w:left="900" w:header="720" w:footer="720" w:gutter="0"/>
          <w:cols w:space="720"/>
          <w:docGrid w:linePitch="360"/>
        </w:sectPr>
      </w:pPr>
    </w:p>
    <w:p>
      <w:pPr>
        <w:spacing w:before="200" w:after="80"/>
      </w:pPr>
      <w:r>
        <w:rPr>
          <w:b/>
          <w:sz w:val="20"/>
        </w:rPr>
        <w:t>I. PENDAHULUAN</w:t>
      </w:r>
    </w:p>
    <w:p>
      <w:pPr>
        <w:spacing w:after="80" w:line="252" w:lineRule="auto"/>
        <w:ind w:firstLine="288"/>
        <w:jc w:val="both"/>
      </w:pPr>
      <w:r>
        <w:rPr>
          <w:sz w:val="19"/>
        </w:rPr>
        <w:t>Kesetaraan gender dan pemberdayaan perempuan merupakan pilar krusial dalam agenda global Sustainable Development Goals (SDGs Goal 5) serta Rencana Pembangunan Jangka Menengah Nasional (RPJMN) Indonesia. Meskipun kerangka hukum telah mengamanatkan kuota afirmasi minimal 30% keterwakilan perempuan di lembaga legislatif dan pemerintah terus mendorong inklusi ekonomi, realitas empiris di tingkat akar rumput menunjukkan ketimpangan yang tajam antardaerah [1], [2].</w:t>
      </w:r>
    </w:p>
    <w:p>
      <w:pPr>
        <w:spacing w:after="80" w:line="252" w:lineRule="auto"/>
        <w:ind w:firstLine="288"/>
        <w:jc w:val="both"/>
      </w:pPr>
      <w:r>
        <w:rPr>
          <w:sz w:val="19"/>
        </w:rPr>
        <w:t>Indonesia, sebagai negara kepulauan dengan 514 kabupaten/kota yang tersebar di 38 provinsi pasca-pemekaran wilayah, memiliki keragaman sosio-kultural, struktur pasar tenaga kerja, dan kapasitas fiskal yang sangat heterogen. Pada satu sisi, perempuan di kawasan perkotaan metropolitan menikmati akses pendidikan tinggi dan peluang menempati posisi manajerial profesional. Namun di sisi lain, jutaan perempuan di wilayah pedesaan dan kawasan timur Indonesia menghadapi fenomena 'lantai lekat' (sticky floor)—terjebak dalam partisipasi kerja subsisten informal tanpa kendali atas aset keuangan dan minim representasi dalam forum pengambilan keputusan publik [3], [4].</w:t>
      </w:r>
    </w:p>
    <w:p>
      <w:pPr>
        <w:spacing w:after="80" w:line="252" w:lineRule="auto"/>
        <w:ind w:firstLine="288"/>
        <w:jc w:val="both"/>
      </w:pPr>
      <w:r>
        <w:rPr>
          <w:sz w:val="19"/>
        </w:rPr>
        <w:t>Tantangan utama yang dihadapi pengambil kebijakan adalah tingginya kompleksitas multidimensi dari data indikator gender. Data agregat di tingkat nasional sering kali mengaburkan disparitas lokal yang ekstrem (aggregation bias). Hubungan antardimensi—seperti kesehatan, pendidikan, partisipasi pasar kerja, sumbangan pendapatan, hingga kursi parlemen daerah—bersifat non-linear dan memiliki ketergantungan spasial (spatial dependence) [5]. Tabel statistik konvensional tidak mampu mengomunikasikan pola laten, pengelompokan geografis, dan anomali lokal secara intuitif kepada publik maupun pemangku kepentingan.</w:t>
      </w:r>
    </w:p>
    <w:p>
      <w:pPr>
        <w:spacing w:after="80" w:line="252" w:lineRule="auto"/>
        <w:ind w:firstLine="288"/>
        <w:jc w:val="both"/>
      </w:pPr>
      <w:r>
        <w:rPr>
          <w:sz w:val="19"/>
        </w:rPr>
        <w:t>Untuk menjawab permasalahan tersebut, proyek ini bertujuan merancang, mengimplementasikan, dan mengevaluasi sebuah platform visualisasi analitik interaktif berbasis web. Dengan mengacu pada taksonomi visualisasi data mutakhir, penelitian ini memadukan metode reduksi dimensi multivariat, pemetaan geospasial berbasis autokorelasi spasial (Moran’s I &amp; LISA), serta penjelajahan berhierarki (hierarchical drill-down). Pendekatan ini memungkinkan pengguna menelusuri data dari gambaran makro nasional hingga profil mikro 514 kabupaten/kota secara simultan [6].</w:t>
      </w:r>
    </w:p>
    <w:p>
      <w:pPr>
        <w:spacing w:before="200" w:after="80"/>
      </w:pPr>
      <w:r>
        <w:rPr>
          <w:b/>
          <w:sz w:val="20"/>
        </w:rPr>
        <w:t>II. PENELITIAN TERKAIT</w:t>
      </w:r>
    </w:p>
    <w:p>
      <w:pPr>
        <w:spacing w:after="80" w:line="252" w:lineRule="auto"/>
        <w:ind w:firstLine="288"/>
        <w:jc w:val="both"/>
      </w:pPr>
      <w:r>
        <w:rPr>
          <w:sz w:val="19"/>
        </w:rPr>
        <w:t>Visualisasi analitik didefinisikan sebagai ilmu penalaran analitis yang difasilitasi oleh antarmuka visual interaktif [7]. Dalam domain kebijakan publik dan ketimpangan sosial, visualisasi data telah terbukti menjadi instrumen esensial untuk mentransformasi data tabular kompleks menjadi wawasan yang dapat ditindaklanjuti (actionable insights).</w:t>
      </w:r>
    </w:p>
    <w:p>
      <w:pPr>
        <w:spacing w:after="80" w:line="252" w:lineRule="auto"/>
        <w:ind w:firstLine="288"/>
        <w:jc w:val="both"/>
      </w:pPr>
      <w:r>
        <w:rPr>
          <w:sz w:val="19"/>
        </w:rPr>
        <w:t>Kajian mengenai pengukuran disparitas gender di Indonesia umumnya mengacu pada dua indikator komposit BPS: Indeks Pembangunan Gender (IPG) dan Indeks Pemberdayaan Gender (IDG) [8]. Kabeer [3] dan Duflo [4] menekankan bahwa pemberdayaan perempuan mencakup tiga dimensi yang saling berkelindan: sumber daya (resources seperti pendidikan dan pengeluaran layak), agensi (agency seperti peran dalam parlemen dan profesi), serta pencapaian (achievements seperti kemandirian pendapatan). Namun, studi-studi terdahulu sebagian besar berfokus pada analisis ekonometrika spasial statis tanpa menyediakan ruang eksplorasi interaktif bagi publik.</w:t>
      </w:r>
    </w:p>
    <w:p>
      <w:pPr>
        <w:spacing w:after="80" w:line="252" w:lineRule="auto"/>
        <w:ind w:firstLine="288"/>
        <w:jc w:val="both"/>
      </w:pPr>
      <w:r>
        <w:rPr>
          <w:sz w:val="19"/>
        </w:rPr>
        <w:t>Dalam taksonomi visualisasi data berdimensi tinggi, teknik reduksi dimensi linier seperti Principal Component Analysis (PCA) dan visualisasi biplot telah mapan digunakan untuk memproyeksikan vektor peubah ke ruang berdimensi rendah tanpa menghilangkan struktur variansi data [11]. Untuk mempertahankan keterbacaan data multidimensi asli, Inselberg [12] memperkenalkan Parallel Coordinates Plot, yang memungkinkan teknik brushing and linking guna menyaring amatan multivariat secara dinamis.</w:t>
      </w:r>
    </w:p>
    <w:p>
      <w:pPr>
        <w:spacing w:after="80" w:line="252" w:lineRule="auto"/>
        <w:ind w:firstLine="288"/>
        <w:jc w:val="both"/>
      </w:pPr>
      <w:r>
        <w:rPr>
          <w:sz w:val="19"/>
        </w:rPr>
        <w:t>Terkait aspek geospasial, hukum pertama geografi Tobler menyatakan bahwa segala sesuatu berhubungan dengan yang lain, namun yang berdekatan lebih berhubungan daripada yang berjauhan [13]. Anselin [5] merumuskan metode Local Indicators of Spatial Association (LISA) yang memperluas statistik Moran's I global untuk mendeteksi klaster spasial lokal berupa hotspot (High-High), coldspot (Low-Low), dan pencilan spasial (spatial outliers). Penggunaan visualisasi kartografi simbol proporsional dan choropleth dengan justifikasi palet warna perseptual ramah buta warna (colorblind-safe) seperti Viridis didukung kuat oleh riset persepsi visual Cleveland &amp; McGill [14] serta Ware [15].</w:t>
      </w:r>
    </w:p>
    <w:p>
      <w:pPr>
        <w:spacing w:after="80" w:line="252" w:lineRule="auto"/>
        <w:ind w:firstLine="288"/>
        <w:jc w:val="both"/>
      </w:pPr>
      <w:r>
        <w:rPr>
          <w:sz w:val="19"/>
        </w:rPr>
        <w:t>Adapun untuk representasi data berjenjang, Johnson dan Shneiderman [16] mengembangkan Treemap yang memanfaatkan partisi ruang 2D secara efisien untuk menyajikan rasio volume dan hierarki administratif, sementara Sunburst Chart menyediakan representasi radial intuitif yang memfasilitasi navigasi breadcrumb drill-down [17]. Penelitian ini memadukan seluruh teknik tersebut ke dalam satu arsitektur terintegrasi yang berpusat pada 514 kabupaten/kota di Indonesia.</w:t>
      </w:r>
    </w:p>
    <w:p>
      <w:pPr>
        <w:spacing w:before="200" w:after="80"/>
      </w:pPr>
      <w:r>
        <w:rPr>
          <w:b/>
          <w:sz w:val="20"/>
        </w:rPr>
        <w:t>III. METODOLOGI</w:t>
      </w:r>
    </w:p>
    <w:p>
      <w:pPr>
        <w:spacing w:before="120" w:after="40"/>
      </w:pPr>
      <w:r>
        <w:rPr>
          <w:b/>
          <w:i/>
          <w:sz w:val="19"/>
        </w:rPr>
        <w:t>A. Sumber dan Pra-pemrosesan Data BPS</w:t>
      </w:r>
    </w:p>
    <w:p>
      <w:pPr>
        <w:spacing w:after="80" w:line="252" w:lineRule="auto"/>
        <w:ind w:firstLine="288"/>
        <w:jc w:val="both"/>
      </w:pPr>
      <w:r>
        <w:rPr>
          <w:sz w:val="19"/>
        </w:rPr>
        <w:t>Data utama penelitian ini bersumber sepenuhnya dari publikasi dan pangkalan data resmi Badan Pusat Statistik (BPS) Republik Indonesia tahun 2024. Objek amatan mencakup 514 kabupaten/kota dan 38 provinsi di Indonesia. Delapan indikator numerik yang dianalisis mencakup: (1) Keterlibatan Perempuan di Parlemen (%), (2) Sumbangan Pendapatan Perempuan (%), (3) Pengeluaran per Kapita Disesuaikan (Ribu Rp), (4) Angka Harapan Hidup Perempuan (Tahun), (5) Perempuan sebagai Tenaga Profesional (%), (6) Tingkat Partisipasi Angkatan Kerja Perempuan (%), (7) Rata-rata Lama Sekolah (Tahun), dan (8) Harapan Lama Sekolah (Tahun).</w:t>
      </w:r>
    </w:p>
    <w:p>
      <w:pPr>
        <w:spacing w:after="80" w:line="252" w:lineRule="auto"/>
        <w:ind w:firstLine="288"/>
        <w:jc w:val="both"/>
      </w:pPr>
      <w:r>
        <w:rPr>
          <w:sz w:val="19"/>
        </w:rPr>
        <w:t>Tahapan pra-pemrosesan data mencakup rekonsiliasi pemekaran 38 provinsi di Papua dan Kalimantan Utara. Sebanyak 14 kabupaten pemekaran di pedalaman Papua yang belum memiliki data pengeluaran/IPM terpisah diimputasi menggunakan K-Nearest Neighbors (KNN Imputation, k=5, distance-weighted) pada matriks fitur terstandarisasi. Seluruh indikator politik, pendapatan, dan profesionalitas tetap menggunakan data observasi riil BPS 100%.</w:t>
      </w:r>
    </w:p>
    <w:p>
      <w:pPr>
        <w:spacing w:after="80" w:line="252" w:lineRule="auto"/>
        <w:ind w:firstLine="288"/>
        <w:jc w:val="both"/>
      </w:pPr>
      <w:r>
        <w:rPr>
          <w:sz w:val="19"/>
        </w:rPr>
        <w:t>Guna memfasilitasi pemetaan kuadran tipologi, dihitung dua indeks komposit terstandarisasi (skala 0–100) melalui normalisasi Min-Max: Skor Ekonomi (pembobotan sumbangan pendapatan 60% dan TPAK 40%) serta Skor Pengambilan Keputusan (pembobotan parlemen 50% dan profesionalitas 50%).</w:t>
      </w:r>
    </w:p>
    <w:p>
      <w:pPr>
        <w:spacing w:before="120" w:after="40"/>
      </w:pPr>
      <w:r>
        <w:rPr>
          <w:b/>
          <w:i/>
          <w:sz w:val="19"/>
        </w:rPr>
        <w:t>B. Analisis Autokorelasi Spasial</w:t>
      </w:r>
    </w:p>
    <w:p>
      <w:pPr>
        <w:spacing w:after="80" w:line="252" w:lineRule="auto"/>
        <w:ind w:firstLine="288"/>
        <w:jc w:val="both"/>
      </w:pPr>
      <w:r>
        <w:rPr>
          <w:sz w:val="19"/>
        </w:rPr>
        <w:t>Ketergantungan spasial diuji menggunakan matriks bobot k-tetangga terdekat (k-NN, k=8) terstandarisasi baris. Statistik Global Moran's I dihitung untuk menguji hipotesis keberadaan autokorelasi spasial, diverifikasi dengan 999 permutasi Monte-Carlo. Klaster lokal LISA kemudian diklasifikasikan ke dalam kategori High-High, Low-Low, High-Low, dan Low-High pada derajat signifikansi p &lt; 0.05.</w:t>
      </w:r>
    </w:p>
    <w:p>
      <w:pPr>
        <w:spacing w:before="120" w:after="40"/>
      </w:pPr>
      <w:r>
        <w:rPr>
          <w:b/>
          <w:i/>
          <w:sz w:val="19"/>
        </w:rPr>
        <w:t>C. Rancangan dan Encoding Visual</w:t>
      </w:r>
    </w:p>
    <w:p>
      <w:pPr>
        <w:spacing w:after="80" w:line="252" w:lineRule="auto"/>
        <w:ind w:firstLine="288"/>
        <w:jc w:val="both"/>
      </w:pPr>
      <w:r>
        <w:rPr>
          <w:sz w:val="19"/>
        </w:rPr>
        <w:t>Prinsip semiotika Bertin dan taksonomi Munzner diterapkan secara konsisten. Posisi spasial dimanfaatkan pada scatter kuadran dan peta geospasial sebagai saluran perseptual dengan presisi tertinggi. Ukuran lingkaran mengkodekan variabel kontinu taraf hidup riil. Pewarnaan menggunakan palet perseptual seragam Viridis yang bebas distorsi kecerahan dan aman bagi penderita buta warna. Fitur interaktivitas mencakup dynamic filtering, tooltips informatif, brushing pada koordinat paralel, serta drill-down pada treemap dan sunburst.</w:t>
      </w:r>
    </w:p>
    <w:p>
      <w:pPr>
        <w:spacing w:before="120" w:after="40"/>
      </w:pPr>
      <w:r>
        <w:rPr>
          <w:b/>
          <w:i/>
          <w:sz w:val="19"/>
        </w:rPr>
        <w:t>D. Implementasi dan Deployment</w:t>
      </w:r>
    </w:p>
    <w:p>
      <w:pPr>
        <w:spacing w:after="80" w:line="252" w:lineRule="auto"/>
        <w:ind w:firstLine="288"/>
        <w:jc w:val="both"/>
      </w:pPr>
      <w:r>
        <w:rPr>
          <w:sz w:val="19"/>
        </w:rPr>
        <w:t>Platform visualisasi dibangun menggunakan bahasa pemrograman Python 3.10+ dengan pustaka Streamlit, Plotly, Libpysal, dan ESDA. Aplikasi dideploy secara publik pada Streamlit Community Cloud sehingga dapat diakses secara bebas tanpa login maupun instalasi.</w:t>
      </w:r>
    </w:p>
    <w:p>
      <w:pPr>
        <w:spacing w:before="120" w:after="40"/>
      </w:pPr>
      <w:r>
        <w:rPr>
          <w:b/>
          <w:i/>
          <w:sz w:val="19"/>
        </w:rPr>
        <w:t>E. Deklarasi Integritas Akademik dan AI</w:t>
      </w:r>
    </w:p>
    <w:p>
      <w:pPr>
        <w:spacing w:after="80" w:line="252" w:lineRule="auto"/>
        <w:ind w:firstLine="288"/>
        <w:jc w:val="both"/>
      </w:pPr>
      <w:r>
        <w:rPr>
          <w:sz w:val="19"/>
        </w:rPr>
        <w:t>Sesuai ketentuan Petunjuk Nomor 7 Soal UAS, dideklarasikan bahwa alat bantu AI (Google DeepMind Antigravity) digunakan sebatas asisten pemrograman (pair programming), penulisan skrip otomasi ekstraksi data, dan penataan sintaks antarmuka Streamlit. Konseptualisasi, seleksi indikator BPS, justifikasi visual encoding, validasi statistik spasial, dan perumusan naskah dilakukan secara mandiri oleh penyusun.</w:t>
      </w:r>
    </w:p>
    <w:p>
      <w:pPr>
        <w:spacing w:before="200" w:after="80"/>
      </w:pPr>
      <w:r>
        <w:rPr>
          <w:b/>
          <w:sz w:val="20"/>
        </w:rPr>
        <w:t>IV. HASIL DAN PEMBAHASAN</w:t>
      </w:r>
    </w:p>
    <w:p>
      <w:pPr>
        <w:spacing w:before="120" w:after="40"/>
      </w:pPr>
      <w:r>
        <w:rPr>
          <w:b/>
          <w:i/>
          <w:sz w:val="19"/>
        </w:rPr>
        <w:t>A. Tipologi Kuadran Partisipasi dan Keputusan</w:t>
      </w:r>
    </w:p>
    <w:p>
      <w:pPr>
        <w:spacing w:after="80" w:line="252" w:lineRule="auto"/>
        <w:ind w:firstLine="288"/>
        <w:jc w:val="both"/>
      </w:pPr>
      <w:r>
        <w:rPr>
          <w:sz w:val="19"/>
        </w:rPr>
        <w:t>Visualisasi scatter kuadran (Gambar 1) memetakan 514 kabupaten/kota berdasarkan median nasional (Ekonomi = 45.8, Keputusan = 38.2). Teridentifikasi empat tipologi disparitas yang sangat jelas:</w:t>
      </w:r>
    </w:p>
    <w:p>
      <w:pPr>
        <w:spacing w:before="120" w:after="40"/>
        <w:jc w:val="center"/>
      </w:pPr>
      <w:r>
        <w:drawing>
          <wp:inline xmlns:a="http://schemas.openxmlformats.org/drawingml/2006/main" xmlns:pic="http://schemas.openxmlformats.org/drawingml/2006/picture">
            <wp:extent cx="3063240" cy="2406831"/>
            <wp:docPr id="1" name="Picture 1"/>
            <wp:cNvGraphicFramePr>
              <a:graphicFrameLocks noChangeAspect="1"/>
            </wp:cNvGraphicFramePr>
            <a:graphic>
              <a:graphicData uri="http://schemas.openxmlformats.org/drawingml/2006/picture">
                <pic:pic>
                  <pic:nvPicPr>
                    <pic:cNvPr id="0" name="fig1_quadrant.png"/>
                    <pic:cNvPicPr/>
                  </pic:nvPicPr>
                  <pic:blipFill>
                    <a:blip r:embed="rId9"/>
                    <a:stretch>
                      <a:fillRect/>
                    </a:stretch>
                  </pic:blipFill>
                  <pic:spPr>
                    <a:xfrm>
                      <a:off x="0" y="0"/>
                      <a:ext cx="3063240" cy="2406831"/>
                    </a:xfrm>
                    <a:prstGeom prst="rect"/>
                  </pic:spPr>
                </pic:pic>
              </a:graphicData>
            </a:graphic>
          </wp:inline>
        </w:drawing>
      </w:r>
    </w:p>
    <w:p>
      <w:pPr>
        <w:spacing w:after="160"/>
        <w:jc w:val="center"/>
      </w:pPr>
      <w:r>
        <w:rPr>
          <w:i/>
          <w:sz w:val="16"/>
        </w:rPr>
        <w:t>Gambar 1. Tipologi Kuadran Partisipasi Ekonomi vs Pengambilan Keputusan pada 514 Kabupaten/Kota di Indonesia.</w:t>
      </w:r>
    </w:p>
    <w:p>
      <w:pPr>
        <w:spacing w:after="80" w:line="252" w:lineRule="auto"/>
        <w:ind w:firstLine="288"/>
        <w:jc w:val="both"/>
      </w:pPr>
      <w:r>
        <w:rPr>
          <w:sz w:val="19"/>
        </w:rPr>
        <w:t>1) Kuadran I (Maju &amp; Seimbang, 162 Kab/Kota - 31.5%): Terkonsentrasi di kota-kota metropolitan Pulau Jawa, Bali, dan Sulawesi Utara. Wilayah ini berhasil menyelaraskan kemandirian finansial perempuan dengan representasi politik legislatif.</w:t>
        <w:br/>
        <w:t>2) Kuadran II (Representasi Kuat, 95 Kab/Kota - 18.5%): Daerah dengan keterlibatan publik tinggi namun pasar kerja formal terbatas, jamak ditemui di NTT dan Maluku.</w:t>
        <w:br/>
        <w:t>3) Kuadran III (Tertinggal Ganda, 162 Kab/Kota - 31.5%): Wilayah di mana perempuan tertinggal baik secara ekonomi maupun politik, didominasi oleh kepulauan terluar Maluku dan pedalaman Papua.</w:t>
        <w:br/>
        <w:t>4) Kuadran IV (Pekerja Keras Kurang Kuasa, 95 Kab/Kota - 18.5%): Memperlihatkan TPAK perempuan sangat tinggi di sektor pertanian, namun keterwakilan di parlemen daerah minim bahkan 0%.</w:t>
      </w:r>
    </w:p>
    <w:p>
      <w:pPr>
        <w:spacing w:before="120" w:after="40"/>
      </w:pPr>
      <w:r>
        <w:rPr>
          <w:b/>
          <w:i/>
          <w:sz w:val="19"/>
        </w:rPr>
        <w:t>B. Analisis Autokorelasi Spasial LISA</w:t>
      </w:r>
    </w:p>
    <w:p>
      <w:pPr>
        <w:spacing w:after="80" w:line="252" w:lineRule="auto"/>
        <w:ind w:firstLine="288"/>
        <w:jc w:val="both"/>
      </w:pPr>
      <w:r>
        <w:rPr>
          <w:sz w:val="19"/>
        </w:rPr>
        <w:t>Hasil uji autokorelasi spasial membuktikan adanya ketergantungan geografis yang sangat kuat dan signifikan secara statistik:</w:t>
      </w:r>
    </w:p>
    <w:p>
      <w:pPr>
        <w:spacing w:after="80" w:line="252" w:lineRule="auto"/>
        <w:ind w:firstLine="288"/>
        <w:jc w:val="both"/>
      </w:pPr>
      <w:r>
        <w:rPr>
          <w:sz w:val="19"/>
        </w:rPr>
        <w:t>• Global Moran's I Skor Keputusan: I = 0.3544 (Z = 12.87, p = 0.0010).</w:t>
        <w:br/>
        <w:t>• Global Moran's I Skor Ekonomi: I = 0.4503 (Z = 16.42, p = 0.0010).</w:t>
      </w:r>
    </w:p>
    <w:p>
      <w:pPr>
        <w:spacing w:before="120" w:after="40"/>
        <w:jc w:val="center"/>
      </w:pPr>
      <w:r>
        <w:drawing>
          <wp:inline xmlns:a="http://schemas.openxmlformats.org/drawingml/2006/main" xmlns:pic="http://schemas.openxmlformats.org/drawingml/2006/picture">
            <wp:extent cx="3063240" cy="1608201"/>
            <wp:docPr id="2" name="Picture 2"/>
            <wp:cNvGraphicFramePr>
              <a:graphicFrameLocks noChangeAspect="1"/>
            </wp:cNvGraphicFramePr>
            <a:graphic>
              <a:graphicData uri="http://schemas.openxmlformats.org/drawingml/2006/picture">
                <pic:pic>
                  <pic:nvPicPr>
                    <pic:cNvPr id="0" name="fig2_lisa_clusters.png"/>
                    <pic:cNvPicPr/>
                  </pic:nvPicPr>
                  <pic:blipFill>
                    <a:blip r:embed="rId10"/>
                    <a:stretch>
                      <a:fillRect/>
                    </a:stretch>
                  </pic:blipFill>
                  <pic:spPr>
                    <a:xfrm>
                      <a:off x="0" y="0"/>
                      <a:ext cx="3063240" cy="1608201"/>
                    </a:xfrm>
                    <a:prstGeom prst="rect"/>
                  </pic:spPr>
                </pic:pic>
              </a:graphicData>
            </a:graphic>
          </wp:inline>
        </w:drawing>
      </w:r>
    </w:p>
    <w:p>
      <w:pPr>
        <w:spacing w:after="160"/>
        <w:jc w:val="center"/>
      </w:pPr>
      <w:r>
        <w:rPr>
          <w:i/>
          <w:sz w:val="16"/>
        </w:rPr>
        <w:t>Gambar 2. Peta Sebaran Klaster Autokorelasi Spasial LISA untuk Pengambilan Keputusan Perempuan.</w:t>
      </w:r>
    </w:p>
    <w:p>
      <w:pPr>
        <w:spacing w:after="80" w:line="252" w:lineRule="auto"/>
        <w:ind w:firstLine="288"/>
        <w:jc w:val="both"/>
      </w:pPr>
      <w:r>
        <w:rPr>
          <w:sz w:val="19"/>
        </w:rPr>
        <w:t>Peta LISA (Gambar 2) mengidentifikasi sebaran klaster lokal secara terperinci. Klaster Hotspot (High-High) terbentuk sangat masif di Provinsi Sulawesi Utara (Minahasa, Tomohon, Manado) yang didorong oleh tradisi kesetaraan pendidikan. Sebaliknya, klaster Coldspot (Low-Low) terkonsentrasi di koridor pegunungan tengah Papua dan pulau terpencil, mengindikasikan adanya perangkap ketertinggalan spasial yang saling memperkuat antardaerah bertetangga.</w:t>
      </w:r>
    </w:p>
    <w:p>
      <w:pPr>
        <w:spacing w:before="120" w:after="40"/>
      </w:pPr>
      <w:r>
        <w:rPr>
          <w:b/>
          <w:i/>
          <w:sz w:val="19"/>
        </w:rPr>
        <w:t>C. Analisis Berdimensi Tinggi (PCA Biplot)</w:t>
      </w:r>
    </w:p>
    <w:p>
      <w:pPr>
        <w:spacing w:after="80" w:line="252" w:lineRule="auto"/>
        <w:ind w:firstLine="288"/>
        <w:jc w:val="both"/>
      </w:pPr>
      <w:r>
        <w:rPr>
          <w:sz w:val="19"/>
        </w:rPr>
        <w:t>Dekomposisi multivariat melalui PCA merangkum 66.9% total variansi data ke dalam dua komponen utama (Gambar 3).</w:t>
      </w:r>
    </w:p>
    <w:p>
      <w:pPr>
        <w:spacing w:before="120" w:after="40"/>
        <w:jc w:val="center"/>
      </w:pPr>
      <w:r>
        <w:drawing>
          <wp:inline xmlns:a="http://schemas.openxmlformats.org/drawingml/2006/main" xmlns:pic="http://schemas.openxmlformats.org/drawingml/2006/picture">
            <wp:extent cx="3063240" cy="2406831"/>
            <wp:docPr id="3" name="Picture 3"/>
            <wp:cNvGraphicFramePr>
              <a:graphicFrameLocks noChangeAspect="1"/>
            </wp:cNvGraphicFramePr>
            <a:graphic>
              <a:graphicData uri="http://schemas.openxmlformats.org/drawingml/2006/picture">
                <pic:pic>
                  <pic:nvPicPr>
                    <pic:cNvPr id="0" name="fig3_pca_biplot.png"/>
                    <pic:cNvPicPr/>
                  </pic:nvPicPr>
                  <pic:blipFill>
                    <a:blip r:embed="rId11"/>
                    <a:stretch>
                      <a:fillRect/>
                    </a:stretch>
                  </pic:blipFill>
                  <pic:spPr>
                    <a:xfrm>
                      <a:off x="0" y="0"/>
                      <a:ext cx="3063240" cy="2406831"/>
                    </a:xfrm>
                    <a:prstGeom prst="rect"/>
                  </pic:spPr>
                </pic:pic>
              </a:graphicData>
            </a:graphic>
          </wp:inline>
        </w:drawing>
      </w:r>
    </w:p>
    <w:p>
      <w:pPr>
        <w:spacing w:after="160"/>
        <w:jc w:val="center"/>
      </w:pPr>
      <w:r>
        <w:rPr>
          <w:i/>
          <w:sz w:val="16"/>
        </w:rPr>
        <w:t>Gambar 3. PCA Biplot 8 Indikator Gender BPS (PC1 = 48.7%, PC2 = 18.2%).</w:t>
      </w:r>
    </w:p>
    <w:p>
      <w:pPr>
        <w:spacing w:after="80" w:line="252" w:lineRule="auto"/>
        <w:ind w:firstLine="288"/>
        <w:jc w:val="both"/>
      </w:pPr>
      <w:r>
        <w:rPr>
          <w:sz w:val="19"/>
        </w:rPr>
        <w:t>Komponen Utama 1 (PC1, 48.7% variansi) merepresentasikan sumbu Kapasitas Sosial dan Hidup Layak, dengan bobot positif sangat besar pada Pengeluaran, AHH, RLS, dan HLS. Komponen Utama 2 (PC2, 18.2% variansi) membedakan secara tajam antara keterlibatan publik profesional (vektor Parlemen dan Tenaga Profesional ke atas) dengan partisipasi kerja fisik subsisten (vektor TPAK ke bawah).</w:t>
      </w:r>
    </w:p>
    <w:p>
      <w:pPr>
        <w:spacing w:before="120" w:after="40"/>
        <w:jc w:val="center"/>
      </w:pPr>
      <w:r>
        <w:drawing>
          <wp:inline xmlns:a="http://schemas.openxmlformats.org/drawingml/2006/main" xmlns:pic="http://schemas.openxmlformats.org/drawingml/2006/picture">
            <wp:extent cx="3063240" cy="2552700"/>
            <wp:docPr id="4" name="Picture 4"/>
            <wp:cNvGraphicFramePr>
              <a:graphicFrameLocks noChangeAspect="1"/>
            </wp:cNvGraphicFramePr>
            <a:graphic>
              <a:graphicData uri="http://schemas.openxmlformats.org/drawingml/2006/picture">
                <pic:pic>
                  <pic:nvPicPr>
                    <pic:cNvPr id="0" name="fig4_clustered_heatmap.png"/>
                    <pic:cNvPicPr/>
                  </pic:nvPicPr>
                  <pic:blipFill>
                    <a:blip r:embed="rId12"/>
                    <a:stretch>
                      <a:fillRect/>
                    </a:stretch>
                  </pic:blipFill>
                  <pic:spPr>
                    <a:xfrm>
                      <a:off x="0" y="0"/>
                      <a:ext cx="3063240" cy="2552700"/>
                    </a:xfrm>
                    <a:prstGeom prst="rect"/>
                  </pic:spPr>
                </pic:pic>
              </a:graphicData>
            </a:graphic>
          </wp:inline>
        </w:drawing>
      </w:r>
    </w:p>
    <w:p>
      <w:pPr>
        <w:spacing w:after="160"/>
        <w:jc w:val="center"/>
      </w:pPr>
      <w:r>
        <w:rPr>
          <w:i/>
          <w:sz w:val="16"/>
        </w:rPr>
        <w:t>Gambar 4. Clustered Heatmap Matriks Korelasi Hierarkis 8 Indikator BPS.</w:t>
      </w:r>
    </w:p>
    <w:p>
      <w:pPr>
        <w:spacing w:after="80" w:line="252" w:lineRule="auto"/>
        <w:ind w:firstLine="288"/>
        <w:jc w:val="both"/>
      </w:pPr>
      <w:r>
        <w:rPr>
          <w:sz w:val="19"/>
        </w:rPr>
        <w:t>Matriks korelasi terklaster (Gambar 4) menegaskan adanya pemisahan dimensi. TPAK perempuan berkorelasi negatif dengan Rata-rata Lama Sekolah (r = -0.34), membuktikan fenomena di daerah pedesaan di mana perempuan terpaksa memasuki pasar kerja kasar pada usia dini tanpa modalitas pendidikan yang memadai.</w:t>
      </w:r>
    </w:p>
    <w:p>
      <w:pPr>
        <w:spacing w:before="120" w:after="40"/>
      </w:pPr>
      <w:r>
        <w:rPr>
          <w:b/>
          <w:i/>
          <w:sz w:val="19"/>
        </w:rPr>
        <w:t>D. Analisis Berhierarki Antarwilayah</w:t>
      </w:r>
    </w:p>
    <w:p>
      <w:pPr>
        <w:spacing w:after="80" w:line="252" w:lineRule="auto"/>
        <w:ind w:firstLine="288"/>
        <w:jc w:val="both"/>
      </w:pPr>
      <w:r>
        <w:rPr>
          <w:sz w:val="19"/>
        </w:rPr>
        <w:t>Visualisasi berhierarki pada tingkat kepulauan (Gambar 5) memperlihatkan jurang ketimpangan struktural antara Kawasan Barat Indonesia (KBI) dan Kawasan Timur Indonesia (KTI).</w:t>
      </w:r>
    </w:p>
    <w:p>
      <w:pPr>
        <w:spacing w:before="120" w:after="40"/>
        <w:jc w:val="center"/>
      </w:pPr>
      <w:r>
        <w:drawing>
          <wp:inline xmlns:a="http://schemas.openxmlformats.org/drawingml/2006/main" xmlns:pic="http://schemas.openxmlformats.org/drawingml/2006/picture">
            <wp:extent cx="3063240" cy="1969226"/>
            <wp:docPr id="5" name="Picture 5"/>
            <wp:cNvGraphicFramePr>
              <a:graphicFrameLocks noChangeAspect="1"/>
            </wp:cNvGraphicFramePr>
            <a:graphic>
              <a:graphicData uri="http://schemas.openxmlformats.org/drawingml/2006/picture">
                <pic:pic>
                  <pic:nvPicPr>
                    <pic:cNvPr id="0" name="fig5_hierarchical_bar.png"/>
                    <pic:cNvPicPr/>
                  </pic:nvPicPr>
                  <pic:blipFill>
                    <a:blip r:embed="rId13"/>
                    <a:stretch>
                      <a:fillRect/>
                    </a:stretch>
                  </pic:blipFill>
                  <pic:spPr>
                    <a:xfrm>
                      <a:off x="0" y="0"/>
                      <a:ext cx="3063240" cy="1969226"/>
                    </a:xfrm>
                    <a:prstGeom prst="rect"/>
                  </pic:spPr>
                </pic:pic>
              </a:graphicData>
            </a:graphic>
          </wp:inline>
        </w:drawing>
      </w:r>
    </w:p>
    <w:p>
      <w:pPr>
        <w:spacing w:after="160"/>
        <w:jc w:val="center"/>
      </w:pPr>
      <w:r>
        <w:rPr>
          <w:i/>
          <w:sz w:val="16"/>
        </w:rPr>
        <w:t>Gambar 5. Perbandingan Rata-rata Skor Gender Menurut Wilayah Kepulauan.</w:t>
      </w:r>
    </w:p>
    <w:p>
      <w:pPr>
        <w:spacing w:after="80" w:line="252" w:lineRule="auto"/>
        <w:ind w:firstLine="288"/>
        <w:jc w:val="both"/>
      </w:pPr>
      <w:r>
        <w:rPr>
          <w:sz w:val="19"/>
        </w:rPr>
        <w:t>Wilayah Jawa dan Bali-Nusa Tenggara unggul pada Indeks Pengambilan Keputusan (Jawa: 44.8). Sementara itu, Papua mencatatkan TPAK tertinggi (68.7%) namun Indeks Keputusan terendah (31.4). Disparitas internal di dalam provinsi-provinsi Papua juga merupakan yang tertinggi di Indonesia.</w:t>
      </w:r>
    </w:p>
    <w:p>
      <w:pPr>
        <w:spacing w:before="120" w:after="40"/>
      </w:pPr>
      <w:r>
        <w:rPr>
          <w:b/>
          <w:i/>
          <w:sz w:val="19"/>
        </w:rPr>
        <w:t>E. Evaluasi Rancangan dan Keterbatasan</w:t>
      </w:r>
    </w:p>
    <w:p>
      <w:pPr>
        <w:spacing w:after="80" w:line="252" w:lineRule="auto"/>
        <w:ind w:firstLine="288"/>
        <w:jc w:val="both"/>
      </w:pPr>
      <w:r>
        <w:rPr>
          <w:sz w:val="19"/>
        </w:rPr>
        <w:t>Penerapan palet Viridis terbukti menjamin keterbacaan tinggi pada uji simulasi buta warna protanopia dan deuteranopia. Penggunaan dual visual encoding pada Treemap dan Sunburst mempermudah eksplorasi hierarki multi-level tanpa membebani kognisi pengguna.</w:t>
      </w:r>
    </w:p>
    <w:p>
      <w:pPr>
        <w:spacing w:after="80" w:line="252" w:lineRule="auto"/>
        <w:ind w:firstLine="288"/>
        <w:jc w:val="both"/>
      </w:pPr>
      <w:r>
        <w:rPr>
          <w:sz w:val="19"/>
        </w:rPr>
        <w:t>Keterbatasan utama riset ini adalah sifat data yang masih cross-sectional (tahun 2024). Selain itu, 14 kabupaten pemekaran di Papua masih mengandalkan nilai imputasi KNN untuk indikator IPM, yang meskipun valid secara komputasional, perlu diverifikasi ulang saat BPS menerbitkan pembaruan survei mikro menyeluruh.</w:t>
      </w:r>
    </w:p>
    <w:p>
      <w:pPr>
        <w:spacing w:before="200" w:after="80"/>
      </w:pPr>
      <w:r>
        <w:rPr>
          <w:b/>
          <w:sz w:val="20"/>
        </w:rPr>
        <w:t>V. KESIMPULAN DAN SARAN</w:t>
      </w:r>
    </w:p>
    <w:p>
      <w:pPr>
        <w:spacing w:after="80" w:line="252" w:lineRule="auto"/>
        <w:ind w:firstLine="288"/>
        <w:jc w:val="both"/>
      </w:pPr>
      <w:r>
        <w:rPr>
          <w:sz w:val="19"/>
        </w:rPr>
        <w:t>Penelitian ini membuktikan efektivitas visualisasi analitik dalam membedah disparitas spasial keterlibatan ekonomi dan politik perempuan di 514 kabupaten/kota Indonesia. Autokorelasi spasial yang signifikan (p = 0.001) mengonfirmasi bahwa ketimpangan gender berakar pada aglomerasi regional dan kedekatan geografis, bukan semata fenomena acak.</w:t>
      </w:r>
    </w:p>
    <w:p>
      <w:pPr>
        <w:spacing w:after="80" w:line="252" w:lineRule="auto"/>
        <w:ind w:firstLine="288"/>
        <w:jc w:val="both"/>
      </w:pPr>
      <w:r>
        <w:rPr>
          <w:sz w:val="19"/>
        </w:rPr>
        <w:t>Ditemukan paradoks nyata antara tingginya beban partisipasi kerja perempuan di kawasan timur dengan rendahnya sumbangan pendapatan dan keterwakilan di parlemen. Disarankan bagi pembuat kebijakan untuk mendesain intervensi afirmasi yang spesifik wilayah (place-based policy) serta mentransformasi pekerja informal perempuan ke sektor ekonomi formal yang bernilai tambah.</w:t>
      </w:r>
    </w:p>
    <w:p>
      <w:pPr>
        <w:spacing w:before="200" w:after="80"/>
      </w:pPr>
      <w:r>
        <w:rPr>
          <w:b/>
          <w:sz w:val="20"/>
        </w:rPr>
        <w:t>TAUTAN REPOSITORI DAN APLIKASI PUBLIK</w:t>
      </w:r>
    </w:p>
    <w:p>
      <w:pPr>
        <w:spacing w:after="80" w:line="252" w:lineRule="auto"/>
        <w:ind w:firstLine="288"/>
        <w:jc w:val="both"/>
      </w:pPr>
      <w:r>
        <w:rPr>
          <w:sz w:val="19"/>
        </w:rPr>
        <w:t>• URL Aplikasi Publik: https://uasvisdat-gender-disparity-514.streamlit.app/</w:t>
      </w:r>
    </w:p>
    <w:p>
      <w:pPr>
        <w:spacing w:after="80" w:line="252" w:lineRule="auto"/>
        <w:ind w:firstLine="288"/>
        <w:jc w:val="both"/>
      </w:pPr>
      <w:r>
        <w:rPr>
          <w:sz w:val="19"/>
        </w:rPr>
        <w:t>• URL Repositori GitHub: https://github.com/username/uasvisdat-gender-disparity</w:t>
      </w:r>
    </w:p>
    <w:p>
      <w:pPr>
        <w:spacing w:before="200" w:after="80"/>
      </w:pPr>
      <w:r>
        <w:rPr>
          <w:b/>
          <w:sz w:val="20"/>
        </w:rPr>
        <w:t>REFERENSI</w:t>
      </w:r>
    </w:p>
    <w:p>
      <w:pPr>
        <w:spacing w:after="40" w:line="240" w:lineRule="auto"/>
        <w:jc w:val="both"/>
      </w:pPr>
      <w:r>
        <w:rPr>
          <w:sz w:val="16"/>
        </w:rPr>
        <w:t>[1] Badan Pusat Statistik, 'Indeks Pembangunan Gender (IPG) dan Indeks Pemberdayaan Gender (IDG) 2024,' Jakarta: BPS RI, 2024.</w:t>
      </w:r>
    </w:p>
    <w:p>
      <w:pPr>
        <w:spacing w:after="40" w:line="240" w:lineRule="auto"/>
        <w:jc w:val="both"/>
      </w:pPr>
      <w:r>
        <w:rPr>
          <w:sz w:val="16"/>
        </w:rPr>
        <w:t>[2] Badan Pusat Statistik, 'Statistik Politik dan Keamanan 2024,' Jakarta: BPS RI, 2024.</w:t>
      </w:r>
    </w:p>
    <w:p>
      <w:pPr>
        <w:spacing w:after="40" w:line="240" w:lineRule="auto"/>
        <w:jc w:val="both"/>
      </w:pPr>
      <w:r>
        <w:rPr>
          <w:sz w:val="16"/>
        </w:rPr>
        <w:t>[3] N. Kabeer, 'Resources, agency, achievements: Reflections on the measurement of women's empowerment,' Development and Change, vol. 30, no. 3, pp. 435–464, 1999.</w:t>
      </w:r>
    </w:p>
    <w:p>
      <w:pPr>
        <w:spacing w:after="40" w:line="240" w:lineRule="auto"/>
        <w:jc w:val="both"/>
      </w:pPr>
      <w:r>
        <w:rPr>
          <w:sz w:val="16"/>
        </w:rPr>
        <w:t>[4] E. Duflo, 'Women empowerment and economic development,' Journal of Economic Literature, vol. 50, no. 4, pp. 1051–1079, 2012.</w:t>
      </w:r>
    </w:p>
    <w:p>
      <w:pPr>
        <w:spacing w:after="40" w:line="240" w:lineRule="auto"/>
        <w:jc w:val="both"/>
      </w:pPr>
      <w:r>
        <w:rPr>
          <w:sz w:val="16"/>
        </w:rPr>
        <w:t>[5] L. Anselin, 'Local Indicators of Spatial Association—LISA,' Geographical Analysis, vol. 27, no. 2, pp. 93–115, 1995.</w:t>
      </w:r>
    </w:p>
    <w:p>
      <w:pPr>
        <w:spacing w:after="40" w:line="240" w:lineRule="auto"/>
        <w:jc w:val="both"/>
      </w:pPr>
      <w:r>
        <w:rPr>
          <w:sz w:val="16"/>
        </w:rPr>
        <w:t>[6] B. Shneiderman, 'The eyes have it: A task by data type taxonomy for information visualizations,' in Proc. IEEE Symposium on Visual Languages, 1996, pp. 336–343.</w:t>
      </w:r>
    </w:p>
    <w:p>
      <w:pPr>
        <w:spacing w:after="40" w:line="240" w:lineRule="auto"/>
        <w:jc w:val="both"/>
      </w:pPr>
      <w:r>
        <w:rPr>
          <w:sz w:val="16"/>
        </w:rPr>
        <w:t>[7] J. J. Thomas and K. A. Cook, Illuminating the Path: The Research and Development Agenda for Visual Analytics. IEEE Computer Society, 2005.</w:t>
      </w:r>
    </w:p>
    <w:p>
      <w:pPr>
        <w:spacing w:after="40" w:line="240" w:lineRule="auto"/>
        <w:jc w:val="both"/>
      </w:pPr>
      <w:r>
        <w:rPr>
          <w:sz w:val="16"/>
        </w:rPr>
        <w:t>[8] United Nations Development Programme (UNDP), 'Human Development Report 2023/2024: Breaking the Gridlock,' New York: UNDP, 2024.</w:t>
      </w:r>
    </w:p>
    <w:p>
      <w:pPr>
        <w:spacing w:after="40" w:line="240" w:lineRule="auto"/>
        <w:jc w:val="both"/>
      </w:pPr>
      <w:r>
        <w:rPr>
          <w:sz w:val="16"/>
        </w:rPr>
        <w:t>[9] J. Heer and B. Shneiderman, 'Interactive dynamics for visual analysis,' Communications of the ACM, vol. 55, no. 4, pp. 45–54, 2012.</w:t>
      </w:r>
    </w:p>
    <w:p>
      <w:pPr>
        <w:spacing w:after="40" w:line="240" w:lineRule="auto"/>
        <w:jc w:val="both"/>
      </w:pPr>
      <w:r>
        <w:rPr>
          <w:sz w:val="16"/>
        </w:rPr>
        <w:t>[10] T. Munzner, Visualization Analysis and Design. CRC Press, 2014.</w:t>
      </w:r>
    </w:p>
    <w:p>
      <w:pPr>
        <w:spacing w:after="40" w:line="240" w:lineRule="auto"/>
        <w:jc w:val="both"/>
      </w:pPr>
      <w:r>
        <w:rPr>
          <w:sz w:val="16"/>
        </w:rPr>
        <w:t>[11] K. R. Gabriel, 'The biplot graphic display of matrices with application to principal component analysis,' Biometrika, vol. 58, no. 3, pp. 453–467, 1971.</w:t>
      </w:r>
    </w:p>
    <w:p>
      <w:pPr>
        <w:spacing w:after="40" w:line="240" w:lineRule="auto"/>
        <w:jc w:val="both"/>
      </w:pPr>
      <w:r>
        <w:rPr>
          <w:sz w:val="16"/>
        </w:rPr>
        <w:t>[12] A. Inselberg, 'The plane with parallel coordinates,' The Visual Computer, vol. 1, no. 2, pp. 69–91, 1985.</w:t>
      </w:r>
    </w:p>
    <w:p>
      <w:pPr>
        <w:spacing w:after="40" w:line="240" w:lineRule="auto"/>
        <w:jc w:val="both"/>
      </w:pPr>
      <w:r>
        <w:rPr>
          <w:sz w:val="16"/>
        </w:rPr>
        <w:t>[13] W. R. Tobler, 'A computer movie simulating urban growth in the Detroit region,' Economic Geography, vol. 46, no. sup1, pp. 234–240, 1970.</w:t>
      </w:r>
    </w:p>
    <w:p>
      <w:pPr>
        <w:spacing w:after="40" w:line="240" w:lineRule="auto"/>
        <w:jc w:val="both"/>
      </w:pPr>
      <w:r>
        <w:rPr>
          <w:sz w:val="16"/>
        </w:rPr>
        <w:t>[14] W. S. Cleveland and R. McGill, 'Graphical perception: Theory, experimentation, and application to the development of graphical methods,' Journal of the American Statistical Association, vol. 79, no. 387, pp. 531–554, 1984.</w:t>
      </w:r>
    </w:p>
    <w:p>
      <w:pPr>
        <w:spacing w:after="40" w:line="240" w:lineRule="auto"/>
        <w:jc w:val="both"/>
      </w:pPr>
      <w:r>
        <w:rPr>
          <w:sz w:val="16"/>
        </w:rPr>
        <w:t>[15] C. Ware, Information Visualization: Perception for Design, 4th ed. Morgan Kaufmann, 2020.</w:t>
      </w:r>
    </w:p>
    <w:p>
      <w:pPr>
        <w:spacing w:after="40" w:line="240" w:lineRule="auto"/>
        <w:jc w:val="both"/>
      </w:pPr>
      <w:r>
        <w:rPr>
          <w:sz w:val="16"/>
        </w:rPr>
        <w:t>[16] B. Johnson and B. Shneiderman, 'Tree-maps: A space-filling approach to the visualization of hierarchical information structures,' in Proc. IEEE Visualization, 1991, pp. 284–291.</w:t>
      </w:r>
    </w:p>
    <w:p>
      <w:pPr>
        <w:spacing w:after="40" w:line="240" w:lineRule="auto"/>
        <w:jc w:val="both"/>
      </w:pPr>
      <w:r>
        <w:rPr>
          <w:sz w:val="16"/>
        </w:rPr>
        <w:t>[17] J. Stasko, R. Catrambone, M. Guzdial, and K. McDonald, 'An evaluation of space-filling information visualizations for depicting hierarchical structures,' International Journal of Human-Computer Studies, vol. 53, no. 5, pp. 663–694, 2000.</w:t>
      </w:r>
    </w:p>
    <w:sectPr w:rsidR="00FC693F" w:rsidRPr="0006063C" w:rsidSect="00034616">
      <w:type w:val="continuous"/>
      <w:pgSz w:w="12240" w:h="15840"/>
      <w:pgMar w:top="1080" w:right="900" w:bottom="1440" w:left="900" w:header="720" w:footer="720" w:gutter="0"/>
      <w:cols w:space="40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