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7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0"/>
        <w:gridCol w:w="1065"/>
        <w:gridCol w:w="1541"/>
        <w:gridCol w:w="1430"/>
      </w:tblGrid>
      <w:tr w:rsidR="00033BFE" w:rsidRPr="009501E7" w14:paraId="01DC6918" w14:textId="77777777" w:rsidTr="00A91743">
        <w:trPr>
          <w:trHeight w:val="144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253002E" w14:textId="77777777" w:rsidR="00033BFE" w:rsidRPr="009501E7" w:rsidRDefault="00033BFE" w:rsidP="00EA6C61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Specimen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253AC79E" w14:textId="77777777" w:rsidR="00033BFE" w:rsidRPr="009501E7" w:rsidRDefault="00033BFE" w:rsidP="00EA6C6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B1D4F59" w14:textId="77777777" w:rsidR="00033BFE" w:rsidRPr="009501E7" w:rsidRDefault="00033BFE" w:rsidP="00EA6C61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Area at Risk</w:t>
            </w:r>
            <w:r w:rsidRPr="009501E7">
              <w:rPr>
                <w:b/>
                <w:bCs/>
                <w:sz w:val="20"/>
                <w:szCs w:val="20"/>
              </w:rPr>
              <w:br/>
              <w:t>Full 17 Segments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7A04E4" w14:textId="77777777" w:rsidR="00033BFE" w:rsidRPr="009501E7" w:rsidRDefault="00033BFE" w:rsidP="00EA6C6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 xml:space="preserve">Area at Risk </w:t>
            </w:r>
          </w:p>
          <w:p w14:paraId="1A1A668A" w14:textId="77777777" w:rsidR="00033BFE" w:rsidRPr="009501E7" w:rsidRDefault="00033BFE" w:rsidP="00EA6C6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(% of LV Area)</w:t>
            </w:r>
          </w:p>
        </w:tc>
      </w:tr>
      <w:tr w:rsidR="00033BFE" w:rsidRPr="009501E7" w14:paraId="64D7DF91" w14:textId="77777777" w:rsidTr="00A91743">
        <w:trPr>
          <w:trHeight w:val="65"/>
        </w:trPr>
        <w:tc>
          <w:tcPr>
            <w:tcW w:w="11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FB87097" w14:textId="77777777" w:rsidR="00033BFE" w:rsidRPr="009501E7" w:rsidRDefault="00033BFE" w:rsidP="00EA6C61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PSEA12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C45DDF" w14:textId="77777777" w:rsidR="00033BFE" w:rsidRPr="009501E7" w:rsidRDefault="00033BFE" w:rsidP="00EA6C6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proofErr w:type="spellStart"/>
            <w:r w:rsidRPr="009501E7">
              <w:rPr>
                <w:bCs/>
                <w:sz w:val="20"/>
                <w:szCs w:val="20"/>
                <w:lang w:val="nb-NO"/>
              </w:rPr>
              <w:t>Hydrogel</w:t>
            </w:r>
            <w:proofErr w:type="spellEnd"/>
            <w:r w:rsidRPr="009501E7">
              <w:rPr>
                <w:bCs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A7F581E" w14:textId="77777777" w:rsidR="00033BFE" w:rsidRPr="009501E7" w:rsidRDefault="00033BFE" w:rsidP="00EA6C61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9501E7">
              <w:rPr>
                <w:bCs/>
                <w:sz w:val="20"/>
                <w:szCs w:val="20"/>
                <w:lang w:val="hr-HR"/>
              </w:rPr>
              <w:t>6</w:t>
            </w:r>
          </w:p>
        </w:tc>
        <w:tc>
          <w:tcPr>
            <w:tcW w:w="1430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</w:tcPr>
          <w:p w14:paraId="026481E5" w14:textId="77777777" w:rsidR="00033BFE" w:rsidRPr="009501E7" w:rsidRDefault="00033BFE" w:rsidP="00EA6C6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9501E7">
              <w:rPr>
                <w:bCs/>
                <w:sz w:val="20"/>
                <w:szCs w:val="20"/>
                <w:lang w:val="hr-HR"/>
              </w:rPr>
              <w:t>18%</w:t>
            </w:r>
          </w:p>
        </w:tc>
      </w:tr>
      <w:tr w:rsidR="00033BFE" w:rsidRPr="009501E7" w14:paraId="6AB743E6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8A8B26B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PSEA13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D17D34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nb-NO"/>
              </w:rPr>
            </w:pPr>
            <w:proofErr w:type="spellStart"/>
            <w:r w:rsidRPr="009501E7">
              <w:rPr>
                <w:bCs/>
                <w:sz w:val="20"/>
                <w:szCs w:val="20"/>
                <w:lang w:val="nb-NO"/>
              </w:rPr>
              <w:t>Hydrogel</w:t>
            </w:r>
            <w:proofErr w:type="spellEnd"/>
            <w:r w:rsidRPr="009501E7">
              <w:rPr>
                <w:bCs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818C667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6, 12, 1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0512F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hr-HR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22%</w:t>
            </w:r>
          </w:p>
        </w:tc>
      </w:tr>
      <w:tr w:rsidR="00033BFE" w:rsidRPr="009501E7" w14:paraId="28B1CB37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3B4C7DE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PSEA14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64460D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nb-NO"/>
              </w:rPr>
            </w:pPr>
            <w:proofErr w:type="spellStart"/>
            <w:r w:rsidRPr="009501E7">
              <w:rPr>
                <w:bCs/>
                <w:sz w:val="20"/>
                <w:szCs w:val="20"/>
                <w:lang w:val="nb-NO"/>
              </w:rPr>
              <w:t>Hydrogel</w:t>
            </w:r>
            <w:proofErr w:type="spellEnd"/>
            <w:r w:rsidRPr="009501E7">
              <w:rPr>
                <w:bCs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CB602BC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6, 1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3C321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nb-NO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25%</w:t>
            </w:r>
          </w:p>
        </w:tc>
      </w:tr>
      <w:tr w:rsidR="00033BFE" w:rsidRPr="009501E7" w14:paraId="37194817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7CDCB21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PSEA15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F69C23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fi-FI"/>
              </w:rPr>
            </w:pPr>
            <w:proofErr w:type="spellStart"/>
            <w:r w:rsidRPr="009501E7">
              <w:rPr>
                <w:bCs/>
                <w:sz w:val="20"/>
                <w:szCs w:val="20"/>
                <w:lang w:val="nb-NO"/>
              </w:rPr>
              <w:t>Hydrogel</w:t>
            </w:r>
            <w:proofErr w:type="spellEnd"/>
            <w:r w:rsidRPr="009501E7">
              <w:rPr>
                <w:bCs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19B9E11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9501E7">
              <w:rPr>
                <w:bCs/>
                <w:sz w:val="20"/>
                <w:szCs w:val="20"/>
                <w:lang w:val="hr-HR"/>
              </w:rPr>
              <w:t>6, 12, 1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BF094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nb-NO"/>
              </w:rPr>
            </w:pPr>
            <w:r w:rsidRPr="009501E7">
              <w:rPr>
                <w:bCs/>
                <w:sz w:val="20"/>
                <w:szCs w:val="20"/>
                <w:lang w:val="hr-HR"/>
              </w:rPr>
              <w:t>21%</w:t>
            </w:r>
          </w:p>
        </w:tc>
      </w:tr>
      <w:tr w:rsidR="00033BFE" w:rsidRPr="009501E7" w14:paraId="6E831507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FEF6A9A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PSEA16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D98463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hr-HR"/>
              </w:rPr>
            </w:pPr>
            <w:proofErr w:type="spellStart"/>
            <w:r w:rsidRPr="009501E7">
              <w:rPr>
                <w:bCs/>
                <w:sz w:val="20"/>
                <w:szCs w:val="20"/>
                <w:lang w:val="nb-NO"/>
              </w:rPr>
              <w:t>Hydrogel</w:t>
            </w:r>
            <w:proofErr w:type="spellEnd"/>
            <w:r w:rsidRPr="009501E7">
              <w:rPr>
                <w:bCs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FAF76B3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9501E7">
              <w:rPr>
                <w:bCs/>
                <w:sz w:val="20"/>
                <w:szCs w:val="20"/>
                <w:lang w:val="pl-PL"/>
              </w:rPr>
              <w:t>6, 11, 5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697A3B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hr-HR"/>
              </w:rPr>
            </w:pPr>
            <w:r w:rsidRPr="009501E7">
              <w:rPr>
                <w:bCs/>
                <w:sz w:val="20"/>
                <w:szCs w:val="20"/>
                <w:lang w:val="pl-PL"/>
              </w:rPr>
              <w:t>23%</w:t>
            </w:r>
          </w:p>
        </w:tc>
      </w:tr>
      <w:tr w:rsidR="00033BFE" w:rsidRPr="009501E7" w14:paraId="5D7BF60E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5CAA774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PSEA17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86D4FF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is-IS"/>
              </w:rPr>
            </w:pPr>
            <w:proofErr w:type="spellStart"/>
            <w:r w:rsidRPr="009501E7">
              <w:rPr>
                <w:bCs/>
                <w:sz w:val="20"/>
                <w:szCs w:val="20"/>
                <w:lang w:val="nb-NO"/>
              </w:rPr>
              <w:t>Hydrogel</w:t>
            </w:r>
            <w:proofErr w:type="spellEnd"/>
            <w:r w:rsidRPr="009501E7">
              <w:rPr>
                <w:bCs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C88F130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9501E7">
              <w:rPr>
                <w:bCs/>
                <w:sz w:val="20"/>
                <w:szCs w:val="20"/>
                <w:lang w:val="hr-HR"/>
              </w:rPr>
              <w:t>6, 12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9A5D6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pl-PL"/>
              </w:rPr>
            </w:pPr>
            <w:r w:rsidRPr="009501E7">
              <w:rPr>
                <w:bCs/>
                <w:sz w:val="20"/>
                <w:szCs w:val="20"/>
                <w:lang w:val="hr-HR"/>
              </w:rPr>
              <w:t>15%</w:t>
            </w:r>
          </w:p>
        </w:tc>
      </w:tr>
      <w:tr w:rsidR="00033BFE" w:rsidRPr="009501E7" w14:paraId="0C1BBAB4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79B65E7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PSEA23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A14190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hr-HR"/>
              </w:rPr>
            </w:pPr>
            <w:proofErr w:type="spellStart"/>
            <w:r w:rsidRPr="009501E7">
              <w:rPr>
                <w:bCs/>
                <w:sz w:val="20"/>
                <w:szCs w:val="20"/>
                <w:lang w:val="nb-NO"/>
              </w:rPr>
              <w:t>Hydrogel</w:t>
            </w:r>
            <w:proofErr w:type="spellEnd"/>
            <w:r w:rsidRPr="009501E7">
              <w:rPr>
                <w:bCs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E4370BE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6, 1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491E4A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hr-HR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15%</w:t>
            </w:r>
          </w:p>
        </w:tc>
      </w:tr>
      <w:tr w:rsidR="00033BFE" w:rsidRPr="009501E7" w14:paraId="22CD968C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ED63940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PSEA24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5F0606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nb-NO"/>
              </w:rPr>
            </w:pPr>
            <w:proofErr w:type="spellStart"/>
            <w:r w:rsidRPr="009501E7">
              <w:rPr>
                <w:bCs/>
                <w:sz w:val="20"/>
                <w:szCs w:val="20"/>
                <w:lang w:val="nb-NO"/>
              </w:rPr>
              <w:t>Hydrogel</w:t>
            </w:r>
            <w:proofErr w:type="spellEnd"/>
            <w:r w:rsidRPr="009501E7">
              <w:rPr>
                <w:bCs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31866BB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9501E7">
              <w:rPr>
                <w:bCs/>
                <w:sz w:val="20"/>
                <w:szCs w:val="20"/>
                <w:lang w:val="hr-HR"/>
              </w:rPr>
              <w:t>6, 5, 11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9DB44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nb-NO"/>
              </w:rPr>
            </w:pPr>
            <w:r w:rsidRPr="009501E7">
              <w:rPr>
                <w:bCs/>
                <w:sz w:val="20"/>
                <w:szCs w:val="20"/>
                <w:lang w:val="hr-HR"/>
              </w:rPr>
              <w:t>15%</w:t>
            </w:r>
          </w:p>
        </w:tc>
      </w:tr>
      <w:tr w:rsidR="00033BFE" w:rsidRPr="009501E7" w14:paraId="6CA0F0A4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4154057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sz w:val="20"/>
                <w:szCs w:val="20"/>
              </w:rPr>
              <w:t>PSEA18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522E61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hr-HR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Control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8B3EF6B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9501E7">
              <w:rPr>
                <w:b/>
                <w:sz w:val="20"/>
                <w:szCs w:val="20"/>
                <w:cs/>
                <w:lang w:bidi="mr-IN"/>
              </w:rPr>
              <w:t>5, 11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4BA6E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hr-HR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24%</w:t>
            </w:r>
          </w:p>
        </w:tc>
      </w:tr>
      <w:tr w:rsidR="00033BFE" w:rsidRPr="009501E7" w14:paraId="0C3E1DB3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53CA5E2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sz w:val="20"/>
                <w:szCs w:val="20"/>
              </w:rPr>
              <w:t>PSEA19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B4B4EE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cs/>
                <w:lang w:bidi="mr-IN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Control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33B2D79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sz w:val="20"/>
                <w:szCs w:val="20"/>
                <w:cs/>
                <w:lang w:bidi="mr-IN"/>
              </w:rPr>
              <w:t>6, 12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4C5AA5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cs/>
                <w:lang w:bidi="mr-IN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23%</w:t>
            </w:r>
          </w:p>
        </w:tc>
      </w:tr>
      <w:tr w:rsidR="00033BFE" w:rsidRPr="009501E7" w14:paraId="73FBFDE1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46060085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PSEA20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EC1C6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bidi="mr-IN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Control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7223276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cs/>
                <w:lang w:bidi="mr-IN"/>
              </w:rPr>
            </w:pPr>
            <w:r w:rsidRPr="009501E7">
              <w:rPr>
                <w:b/>
                <w:sz w:val="20"/>
                <w:szCs w:val="20"/>
                <w:cs/>
                <w:lang w:bidi="mr-IN"/>
              </w:rPr>
              <w:t>6, 12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6B148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cs/>
                <w:lang w:bidi="mr-IN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14%</w:t>
            </w:r>
          </w:p>
        </w:tc>
      </w:tr>
      <w:tr w:rsidR="00033BFE" w:rsidRPr="009501E7" w14:paraId="5AEA8A74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2547A211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PSEA21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212D6F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bidi="mr-IN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Control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06F82F22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cs/>
                <w:lang w:bidi="mr-IN"/>
              </w:rPr>
            </w:pPr>
            <w:r w:rsidRPr="009501E7">
              <w:rPr>
                <w:b/>
                <w:sz w:val="20"/>
                <w:szCs w:val="20"/>
                <w:cs/>
                <w:lang w:bidi="mr-IN"/>
              </w:rPr>
              <w:t>6, 5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34E964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cs/>
                <w:lang w:bidi="mr-IN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17%</w:t>
            </w:r>
          </w:p>
        </w:tc>
      </w:tr>
      <w:tr w:rsidR="00033BFE" w:rsidRPr="009501E7" w14:paraId="23F16C4F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2CE57FC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PSEA22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124233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bidi="mr-IN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Control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FAED918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cs/>
                <w:lang w:bidi="mr-IN"/>
              </w:rPr>
            </w:pPr>
            <w:r w:rsidRPr="009501E7">
              <w:rPr>
                <w:b/>
                <w:sz w:val="20"/>
                <w:szCs w:val="20"/>
                <w:cs/>
                <w:lang w:bidi="mr-IN"/>
              </w:rPr>
              <w:t>6, 12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CB6BBF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cs/>
                <w:lang w:bidi="mr-IN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22%</w:t>
            </w:r>
          </w:p>
        </w:tc>
      </w:tr>
      <w:tr w:rsidR="00033BFE" w:rsidRPr="009501E7" w14:paraId="7CEDD29D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FD4D827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PSEA25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755EFC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bidi="mr-IN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Control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1AD032E3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cs/>
                <w:lang w:bidi="mr-IN"/>
              </w:rPr>
            </w:pPr>
            <w:r w:rsidRPr="009501E7">
              <w:rPr>
                <w:b/>
                <w:sz w:val="20"/>
                <w:szCs w:val="20"/>
                <w:cs/>
                <w:lang w:bidi="mr-IN"/>
              </w:rPr>
              <w:t>6, 5, 11, 12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CF0C7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cs/>
                <w:lang w:bidi="mr-IN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14%</w:t>
            </w:r>
          </w:p>
        </w:tc>
      </w:tr>
      <w:tr w:rsidR="00033BFE" w:rsidRPr="009501E7" w14:paraId="0EEB8B31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4AB5C673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PSEA26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8AF588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bidi="mr-IN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Control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3BD2467C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cs/>
                <w:lang w:bidi="mr-IN"/>
              </w:rPr>
            </w:pPr>
            <w:r w:rsidRPr="009501E7">
              <w:rPr>
                <w:b/>
                <w:sz w:val="20"/>
                <w:szCs w:val="20"/>
                <w:cs/>
                <w:lang w:bidi="mr-IN"/>
              </w:rPr>
              <w:t>6, 5, 11, 12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6D7A5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cs/>
                <w:lang w:bidi="mr-IN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16%</w:t>
            </w:r>
          </w:p>
        </w:tc>
      </w:tr>
      <w:tr w:rsidR="00033BFE" w:rsidRPr="009501E7" w14:paraId="73D9B0D0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D479DC1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PSEA27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F5D7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bidi="mr-IN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Control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2A69B72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cs/>
                <w:lang w:bidi="mr-IN"/>
              </w:rPr>
            </w:pPr>
            <w:r w:rsidRPr="009501E7">
              <w:rPr>
                <w:b/>
                <w:sz w:val="20"/>
                <w:szCs w:val="20"/>
                <w:cs/>
                <w:lang w:bidi="mr-IN"/>
              </w:rPr>
              <w:t>6, 12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5CA65362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cs/>
                <w:lang w:bidi="mr-IN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19%</w:t>
            </w:r>
          </w:p>
        </w:tc>
      </w:tr>
      <w:tr w:rsidR="00033BFE" w:rsidRPr="009501E7" w14:paraId="188688DB" w14:textId="77777777" w:rsidTr="00A91743">
        <w:trPr>
          <w:trHeight w:val="144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01611015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9501E7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9421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bidi="mr-IN"/>
              </w:rPr>
            </w:pPr>
            <w:r w:rsidRPr="009501E7">
              <w:rPr>
                <w:bCs/>
                <w:sz w:val="20"/>
                <w:szCs w:val="20"/>
                <w:lang w:val="nb-NO"/>
              </w:rPr>
              <w:t>-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39157C2F" w14:textId="77777777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cs/>
                <w:lang w:bidi="mr-IN"/>
              </w:rPr>
            </w:pPr>
            <w:r w:rsidRPr="009501E7">
              <w:rPr>
                <w:b/>
                <w:sz w:val="20"/>
                <w:szCs w:val="20"/>
                <w:cs/>
                <w:lang w:bidi="mr-IN"/>
              </w:rPr>
              <w:t>6, 12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9F69D" w14:textId="597D788B" w:rsidR="00033BFE" w:rsidRPr="009501E7" w:rsidRDefault="00033BFE" w:rsidP="00EA6C6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cs/>
                <w:lang w:bidi="mr-IN"/>
              </w:rPr>
            </w:pPr>
            <w:r w:rsidRPr="009501E7">
              <w:rPr>
                <w:bCs/>
                <w:sz w:val="20"/>
                <w:szCs w:val="20"/>
                <w:lang w:bidi="mr-IN"/>
              </w:rPr>
              <w:t>18.9</w:t>
            </w:r>
            <w:r w:rsidRPr="009501E7">
              <w:rPr>
                <w:bCs/>
                <w:sz w:val="20"/>
                <w:szCs w:val="20"/>
              </w:rPr>
              <w:t>±3.9%</w:t>
            </w:r>
          </w:p>
        </w:tc>
      </w:tr>
    </w:tbl>
    <w:p w14:paraId="05674CB0" w14:textId="299BE0DE" w:rsidR="003B2153" w:rsidRDefault="008070EC" w:rsidP="00251957">
      <w:pPr>
        <w:autoSpaceDE w:val="0"/>
        <w:autoSpaceDN w:val="0"/>
        <w:adjustRightInd w:val="0"/>
        <w:jc w:val="both"/>
        <w:rPr>
          <w:bCs/>
        </w:rPr>
      </w:pPr>
      <w:r w:rsidRPr="008727FE">
        <w:rPr>
          <w:bCs/>
        </w:rPr>
        <w:t xml:space="preserve">Table </w:t>
      </w:r>
      <w:r>
        <w:rPr>
          <w:bCs/>
        </w:rPr>
        <w:t>S1</w:t>
      </w:r>
      <w:r w:rsidRPr="008727FE">
        <w:rPr>
          <w:bCs/>
        </w:rPr>
        <w:t xml:space="preserve">, </w:t>
      </w:r>
      <w:r>
        <w:rPr>
          <w:bCs/>
        </w:rPr>
        <w:t xml:space="preserve">Area at risk and affected segments in the 17 segments of </w:t>
      </w:r>
      <w:r w:rsidR="003B2153">
        <w:rPr>
          <w:bCs/>
        </w:rPr>
        <w:t xml:space="preserve">each heart. </w:t>
      </w:r>
    </w:p>
    <w:p w14:paraId="6EA7FA96" w14:textId="5C0E5B32" w:rsidR="00651367" w:rsidRDefault="003B2153" w:rsidP="00651367">
      <w:pPr>
        <w:rPr>
          <w:bCs/>
        </w:rPr>
      </w:pPr>
      <w:r>
        <w:rPr>
          <w:bCs/>
        </w:rPr>
        <w:br w:type="page"/>
      </w:r>
    </w:p>
    <w:tbl>
      <w:tblPr>
        <w:tblW w:w="7668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47"/>
        <w:gridCol w:w="1312"/>
        <w:gridCol w:w="1304"/>
        <w:gridCol w:w="1205"/>
      </w:tblGrid>
      <w:tr w:rsidR="00B653BC" w:rsidRPr="00D65AE7" w14:paraId="6C55029B" w14:textId="77777777" w:rsidTr="00B653BC">
        <w:trPr>
          <w:trHeight w:val="298"/>
        </w:trPr>
        <w:tc>
          <w:tcPr>
            <w:tcW w:w="384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45456D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lastRenderedPageBreak/>
              <w:t>Hydrogel Group (N=8)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854708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Baseline (BL)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7CB3B30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Post MI (MI)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AA8FA2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Post Gel (G)</w:t>
            </w:r>
          </w:p>
        </w:tc>
      </w:tr>
      <w:tr w:rsidR="00B653BC" w:rsidRPr="00D65AE7" w14:paraId="15DD670F" w14:textId="77777777" w:rsidTr="00B653BC">
        <w:trPr>
          <w:trHeight w:val="298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51DC76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LV Hemodynamics &amp; Volume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8360ED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8A29CDB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68359D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Average</w:t>
            </w:r>
          </w:p>
        </w:tc>
      </w:tr>
      <w:tr w:rsidR="00B653BC" w:rsidRPr="00D65AE7" w14:paraId="488798E9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C76591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Max Pressure, MP (mmHg)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1905D1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97.4±6.4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693C32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81.6±5.2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6370A01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77.4±9.1</w:t>
            </w:r>
          </w:p>
        </w:tc>
      </w:tr>
      <w:tr w:rsidR="00B653BC" w:rsidRPr="00D65AE7" w14:paraId="0BD30C53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02069A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End-Diastolic Pressure, EDP (mmHg)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C40143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21.8±4.0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EA556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24.9±3.9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DAE6BE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23.9±2.4</w:t>
            </w:r>
          </w:p>
        </w:tc>
      </w:tr>
      <w:tr w:rsidR="00B653BC" w:rsidRPr="00D65AE7" w14:paraId="3C592A52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8C8506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Heart Rate, HR (bpm)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D80BD9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96.0±16.6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CB1057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70.7±10.6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3EDAB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77.0±13.9</w:t>
            </w:r>
          </w:p>
        </w:tc>
      </w:tr>
      <w:tr w:rsidR="00B653BC" w:rsidRPr="00D65AE7" w14:paraId="31137C11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ECDA0F8" w14:textId="54906F93" w:rsidR="00B653BC" w:rsidRPr="00D65AE7" w:rsidRDefault="00B653BC" w:rsidP="00D65AE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Isovolumetric contraction time, IVCT (</w:t>
            </w:r>
            <w:proofErr w:type="spellStart"/>
            <w:r w:rsidRPr="00D65AE7">
              <w:rPr>
                <w:b/>
                <w:bCs/>
                <w:sz w:val="20"/>
                <w:szCs w:val="20"/>
              </w:rPr>
              <w:t>ms</w:t>
            </w:r>
            <w:proofErr w:type="spellEnd"/>
            <w:r w:rsidRPr="00D65AE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1A51AA5" w14:textId="44153E95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48.5±12.0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C3AEC16" w14:textId="14436C78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67.7±24.7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B7FCE20" w14:textId="79A4ECDD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56.9±21.9</w:t>
            </w:r>
          </w:p>
        </w:tc>
      </w:tr>
      <w:tr w:rsidR="00B653BC" w:rsidRPr="00D65AE7" w14:paraId="6FB9822C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C86A7FA" w14:textId="471FE01B" w:rsidR="00B653BC" w:rsidRPr="00D65AE7" w:rsidRDefault="00B653BC" w:rsidP="00D65AE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Ejection Time, ET (</w:t>
            </w:r>
            <w:proofErr w:type="spellStart"/>
            <w:r w:rsidRPr="00D65AE7">
              <w:rPr>
                <w:b/>
                <w:bCs/>
                <w:sz w:val="20"/>
                <w:szCs w:val="20"/>
              </w:rPr>
              <w:t>ms</w:t>
            </w:r>
            <w:proofErr w:type="spellEnd"/>
            <w:r w:rsidRPr="00D65AE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4E6D871" w14:textId="2CE55589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286.6±36.3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3F46820" w14:textId="616D7B07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326.0±25.3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24B599C" w14:textId="4015B2E7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331.2±40.1</w:t>
            </w:r>
          </w:p>
        </w:tc>
      </w:tr>
      <w:tr w:rsidR="00B653BC" w:rsidRPr="00D65AE7" w14:paraId="54E47F3A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BA058D8" w14:textId="1B7D2F52" w:rsidR="00B653BC" w:rsidRPr="00D65AE7" w:rsidRDefault="00B653BC" w:rsidP="00D65AE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Isovolumetric relaxation time, IVRT (</w:t>
            </w:r>
            <w:proofErr w:type="spellStart"/>
            <w:r w:rsidRPr="00D65AE7">
              <w:rPr>
                <w:b/>
                <w:bCs/>
                <w:sz w:val="20"/>
                <w:szCs w:val="20"/>
              </w:rPr>
              <w:t>ms</w:t>
            </w:r>
            <w:proofErr w:type="spellEnd"/>
            <w:r w:rsidRPr="00D65AE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17D2047" w14:textId="2C8D29BE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95.1±20.2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64DE494C" w14:textId="61D92917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108.5±20.5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EAED9C0" w14:textId="630A31DE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93.8±18.8</w:t>
            </w:r>
          </w:p>
        </w:tc>
      </w:tr>
      <w:tr w:rsidR="00B653BC" w:rsidRPr="00D65AE7" w14:paraId="2AD9AD41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0D590CC" w14:textId="1927FBAD" w:rsidR="00B653BC" w:rsidRPr="00D65AE7" w:rsidRDefault="00B653BC" w:rsidP="00D65AE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Filling Time, FT (</w:t>
            </w:r>
            <w:proofErr w:type="spellStart"/>
            <w:r w:rsidRPr="00D65AE7">
              <w:rPr>
                <w:b/>
                <w:bCs/>
                <w:sz w:val="20"/>
                <w:szCs w:val="20"/>
              </w:rPr>
              <w:t>ms</w:t>
            </w:r>
            <w:proofErr w:type="spellEnd"/>
            <w:r w:rsidRPr="00D65AE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5C20ABC3" w14:textId="2DEED026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209.5±73.1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42E2D49" w14:textId="405928D7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361.5±112.9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A8C13A0" w14:textId="37809274" w:rsidR="00B653BC" w:rsidRPr="00D65AE7" w:rsidRDefault="00B653BC" w:rsidP="00D65AE7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317.3±76.6</w:t>
            </w:r>
          </w:p>
        </w:tc>
      </w:tr>
      <w:tr w:rsidR="00B653BC" w:rsidRPr="00D65AE7" w14:paraId="1D8B0777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B95A17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spellStart"/>
            <w:r w:rsidRPr="00D65AE7">
              <w:rPr>
                <w:b/>
                <w:bCs/>
                <w:sz w:val="20"/>
                <w:szCs w:val="20"/>
              </w:rPr>
              <w:t>Tei</w:t>
            </w:r>
            <w:proofErr w:type="spellEnd"/>
            <w:r w:rsidRPr="00D65AE7">
              <w:rPr>
                <w:b/>
                <w:bCs/>
                <w:sz w:val="20"/>
                <w:szCs w:val="20"/>
              </w:rPr>
              <w:t xml:space="preserve"> Index, (IVCT+IVRT)/ET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C1F714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0.50±0.10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3FCC08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0.54±0.11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727F51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0.46±0.09</w:t>
            </w:r>
          </w:p>
        </w:tc>
      </w:tr>
      <w:tr w:rsidR="00B653BC" w:rsidRPr="00D65AE7" w14:paraId="4B5F7483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015DD202" w14:textId="76B60D80" w:rsidR="00B653BC" w:rsidRPr="00DF76A1" w:rsidRDefault="00B653BC" w:rsidP="00DF76A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DF76A1">
              <w:rPr>
                <w:b/>
                <w:bCs/>
                <w:sz w:val="20"/>
                <w:szCs w:val="20"/>
              </w:rPr>
              <w:t>Systolic Demand, SPTI (mmHg-sec)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074E50F3" w14:textId="4130DC3D" w:rsidR="00B653BC" w:rsidRPr="00DF76A1" w:rsidRDefault="00B653BC" w:rsidP="00DF76A1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F76A1">
              <w:rPr>
                <w:bCs/>
                <w:sz w:val="20"/>
                <w:szCs w:val="20"/>
              </w:rPr>
              <w:t>26.0±3.0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04A2795E" w14:textId="1B86D3AD" w:rsidR="00B653BC" w:rsidRPr="00DF76A1" w:rsidRDefault="00B653BC" w:rsidP="00DF76A1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F76A1">
              <w:rPr>
                <w:bCs/>
                <w:sz w:val="20"/>
                <w:szCs w:val="20"/>
              </w:rPr>
              <w:t>24.7±2.4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6816BD0C" w14:textId="1E7346E0" w:rsidR="00B653BC" w:rsidRPr="00DF76A1" w:rsidRDefault="00B653BC" w:rsidP="00DF76A1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F76A1">
              <w:rPr>
                <w:bCs/>
                <w:sz w:val="20"/>
                <w:szCs w:val="20"/>
              </w:rPr>
              <w:t>23.5±2.1</w:t>
            </w:r>
          </w:p>
        </w:tc>
      </w:tr>
      <w:tr w:rsidR="00B653BC" w:rsidRPr="00D65AE7" w14:paraId="22C8E892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0CE4D4EE" w14:textId="4772CD9A" w:rsidR="00B653BC" w:rsidRPr="00DF76A1" w:rsidRDefault="00B653BC" w:rsidP="00DF76A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DF76A1">
              <w:rPr>
                <w:b/>
                <w:bCs/>
                <w:sz w:val="20"/>
                <w:szCs w:val="20"/>
              </w:rPr>
              <w:t>Diastolic Supply, DPTI (mmHg-sec)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1C96DB3" w14:textId="1A4658B3" w:rsidR="00B653BC" w:rsidRPr="00DF76A1" w:rsidRDefault="00B653BC" w:rsidP="00DF76A1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F76A1">
              <w:rPr>
                <w:bCs/>
                <w:sz w:val="20"/>
                <w:szCs w:val="20"/>
              </w:rPr>
              <w:t>19.1±5.1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0D7F9326" w14:textId="123EE240" w:rsidR="00B653BC" w:rsidRPr="00DF76A1" w:rsidRDefault="00B653BC" w:rsidP="00DF76A1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F76A1">
              <w:rPr>
                <w:bCs/>
                <w:sz w:val="20"/>
                <w:szCs w:val="20"/>
              </w:rPr>
              <w:t>20.9±4.9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23CD51F" w14:textId="117A5F69" w:rsidR="00B653BC" w:rsidRPr="00DF76A1" w:rsidRDefault="00B653BC" w:rsidP="00DF76A1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F76A1">
              <w:rPr>
                <w:bCs/>
                <w:sz w:val="20"/>
                <w:szCs w:val="20"/>
              </w:rPr>
              <w:t>16.4±2.8</w:t>
            </w:r>
          </w:p>
        </w:tc>
      </w:tr>
      <w:tr w:rsidR="00B653BC" w:rsidRPr="00D65AE7" w14:paraId="6EB89C2A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9AA2D2E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Supply/Demand, S/D Ratio, DPTI/SPTI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942C7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0.73±0.18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1744AD2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0.85±0.21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6715B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0.70±0.12</w:t>
            </w:r>
          </w:p>
        </w:tc>
      </w:tr>
      <w:tr w:rsidR="00B653BC" w:rsidRPr="00D65AE7" w14:paraId="09C23BB5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4BE82D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End Diastolic Volume, EDV (mL)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16D5FF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91.3±12.1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B5C16F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83.3±9.2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CA80F7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81.1±11.0</w:t>
            </w:r>
          </w:p>
        </w:tc>
      </w:tr>
      <w:tr w:rsidR="00B653BC" w:rsidRPr="00D65AE7" w14:paraId="219E3FC9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79362A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Stroke Volume, SV (mL)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1FD7ED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50.7±7.0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EF0E0E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39.6±6.2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FAF537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39.5±4.6</w:t>
            </w:r>
          </w:p>
        </w:tc>
      </w:tr>
      <w:tr w:rsidR="00B653BC" w:rsidRPr="00D65AE7" w14:paraId="27AE7C13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01BEB6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Ejection Fraction, EF (%)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FE2AE8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0.56±0.05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58880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0.48±0.07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7670EC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0.49±0.06</w:t>
            </w:r>
          </w:p>
        </w:tc>
      </w:tr>
      <w:tr w:rsidR="00B653BC" w:rsidRPr="00D65AE7" w14:paraId="7B186D8D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BDABCF1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P-V Loop Area, PVA (mL-mmHg)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8F53CD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3188±644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EFA030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1679±253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E11CBD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1747±334</w:t>
            </w:r>
          </w:p>
        </w:tc>
      </w:tr>
      <w:tr w:rsidR="00B653BC" w:rsidRPr="00D65AE7" w14:paraId="174FBFCC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2FB3D4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Control Group (N=5)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812C4BB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Baseline (BL)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A5BFA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Post MI (MI)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B60E4F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Control (C)</w:t>
            </w:r>
          </w:p>
        </w:tc>
      </w:tr>
      <w:tr w:rsidR="00B653BC" w:rsidRPr="00D65AE7" w14:paraId="1C53FDD3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7DB971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LV Hemodynamics &amp; Volume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401712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0B3426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DC9530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Average</w:t>
            </w:r>
          </w:p>
        </w:tc>
      </w:tr>
      <w:tr w:rsidR="00B653BC" w:rsidRPr="00D65AE7" w14:paraId="52A98B49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3D41A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Max Pressure, MP (mmHg)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0C4769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101.7±15.7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B36CE2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79.2±13.2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F650CD1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80.8±11.1</w:t>
            </w:r>
          </w:p>
        </w:tc>
      </w:tr>
      <w:tr w:rsidR="00B653BC" w:rsidRPr="00D65AE7" w14:paraId="4E53D1A5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5155CC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End-Diastolic Pressure, EDP (mmHg)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554AA0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25.9±5.2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638C0E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24.8±3.9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00DE10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25.7±3.5</w:t>
            </w:r>
          </w:p>
        </w:tc>
      </w:tr>
      <w:tr w:rsidR="00B653BC" w:rsidRPr="00D65AE7" w14:paraId="69D00595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9E8BE0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Heart Rate, HR (bpm)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68B730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96.9±7.5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D868FC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85.3±12.0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4038CD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87.3±11.0</w:t>
            </w:r>
          </w:p>
        </w:tc>
      </w:tr>
      <w:tr w:rsidR="00B653BC" w:rsidRPr="00D65AE7" w14:paraId="12C1B824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4F3BFD5" w14:textId="74F26963" w:rsidR="00B653BC" w:rsidRPr="00E570A2" w:rsidRDefault="00B653BC" w:rsidP="00E570A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E570A2">
              <w:rPr>
                <w:b/>
                <w:bCs/>
                <w:sz w:val="20"/>
                <w:szCs w:val="20"/>
              </w:rPr>
              <w:t>Isovolumetric contraction time, IVCT (</w:t>
            </w:r>
            <w:proofErr w:type="spellStart"/>
            <w:r w:rsidRPr="00E570A2">
              <w:rPr>
                <w:b/>
                <w:bCs/>
                <w:sz w:val="20"/>
                <w:szCs w:val="20"/>
              </w:rPr>
              <w:t>ms</w:t>
            </w:r>
            <w:proofErr w:type="spellEnd"/>
            <w:r w:rsidRPr="00E570A2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06131F3B" w14:textId="12C1F507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44.2±15.6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856D5F7" w14:textId="301B7579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58.8±10.6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65B2C5D" w14:textId="287674B5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58.7±9.2</w:t>
            </w:r>
          </w:p>
        </w:tc>
      </w:tr>
      <w:tr w:rsidR="00B653BC" w:rsidRPr="00D65AE7" w14:paraId="5843165E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2DA3912" w14:textId="6367FDBF" w:rsidR="00B653BC" w:rsidRPr="00E570A2" w:rsidRDefault="00B653BC" w:rsidP="00E570A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E570A2">
              <w:rPr>
                <w:b/>
                <w:bCs/>
                <w:sz w:val="20"/>
                <w:szCs w:val="20"/>
              </w:rPr>
              <w:t>Ejection Time, ET (</w:t>
            </w:r>
            <w:proofErr w:type="spellStart"/>
            <w:r w:rsidRPr="00E570A2">
              <w:rPr>
                <w:b/>
                <w:bCs/>
                <w:sz w:val="20"/>
                <w:szCs w:val="20"/>
              </w:rPr>
              <w:t>ms</w:t>
            </w:r>
            <w:proofErr w:type="spellEnd"/>
            <w:r w:rsidRPr="00E570A2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58CC2D5F" w14:textId="277E78DB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287.4±10.8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03670E3B" w14:textId="28EB6965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287.8±21.5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399A45C" w14:textId="6A3713F7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285.6±27.3</w:t>
            </w:r>
          </w:p>
        </w:tc>
      </w:tr>
      <w:tr w:rsidR="00B653BC" w:rsidRPr="00D65AE7" w14:paraId="5B0C20D8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08359FB" w14:textId="5E05E77C" w:rsidR="00B653BC" w:rsidRPr="00E570A2" w:rsidRDefault="00B653BC" w:rsidP="00E570A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E570A2">
              <w:rPr>
                <w:b/>
                <w:bCs/>
                <w:sz w:val="20"/>
                <w:szCs w:val="20"/>
              </w:rPr>
              <w:t>Isovolumetric relaxation time, IVRT (</w:t>
            </w:r>
            <w:proofErr w:type="spellStart"/>
            <w:r w:rsidRPr="00E570A2">
              <w:rPr>
                <w:b/>
                <w:bCs/>
                <w:sz w:val="20"/>
                <w:szCs w:val="20"/>
              </w:rPr>
              <w:t>ms</w:t>
            </w:r>
            <w:proofErr w:type="spellEnd"/>
            <w:r w:rsidRPr="00E570A2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A1FD9A8" w14:textId="238E6A72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83.8±12.8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6EF853A1" w14:textId="0B1C20F2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79.9±5.3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7AD3662" w14:textId="512891D8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82.2±5.9</w:t>
            </w:r>
          </w:p>
        </w:tc>
      </w:tr>
      <w:tr w:rsidR="00B653BC" w:rsidRPr="00D65AE7" w14:paraId="6B77CBB5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DEDF4E5" w14:textId="1C6FF293" w:rsidR="00B653BC" w:rsidRPr="00E570A2" w:rsidRDefault="00B653BC" w:rsidP="00E570A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E570A2">
              <w:rPr>
                <w:b/>
                <w:bCs/>
                <w:sz w:val="20"/>
                <w:szCs w:val="20"/>
              </w:rPr>
              <w:t>Filling Time, FT (</w:t>
            </w:r>
            <w:proofErr w:type="spellStart"/>
            <w:r w:rsidRPr="00E570A2">
              <w:rPr>
                <w:b/>
                <w:bCs/>
                <w:sz w:val="20"/>
                <w:szCs w:val="20"/>
              </w:rPr>
              <w:t>ms</w:t>
            </w:r>
            <w:proofErr w:type="spellEnd"/>
            <w:r w:rsidRPr="00E570A2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CD8AED0" w14:textId="0DB9A27C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206.5±33.6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19A252B" w14:textId="4B62E208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287.0±69.5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190CF91" w14:textId="2B863582" w:rsidR="00B653BC" w:rsidRPr="00E570A2" w:rsidRDefault="00B653BC" w:rsidP="00E570A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E570A2">
              <w:rPr>
                <w:bCs/>
                <w:sz w:val="20"/>
                <w:szCs w:val="20"/>
              </w:rPr>
              <w:t>268.0±57.9</w:t>
            </w:r>
          </w:p>
        </w:tc>
      </w:tr>
      <w:tr w:rsidR="00B653BC" w:rsidRPr="00D65AE7" w14:paraId="3B920598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C7321BB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spellStart"/>
            <w:r w:rsidRPr="00D65AE7">
              <w:rPr>
                <w:b/>
                <w:bCs/>
                <w:sz w:val="20"/>
                <w:szCs w:val="20"/>
              </w:rPr>
              <w:t>Tei</w:t>
            </w:r>
            <w:proofErr w:type="spellEnd"/>
            <w:r w:rsidRPr="00D65AE7">
              <w:rPr>
                <w:b/>
                <w:bCs/>
                <w:sz w:val="20"/>
                <w:szCs w:val="20"/>
              </w:rPr>
              <w:t xml:space="preserve"> Index, (IVCT+IVRT)/ET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E205C3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0.45±0.11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C5D1446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0.48±0.07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DF6E29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0.50±0.09</w:t>
            </w:r>
          </w:p>
        </w:tc>
      </w:tr>
      <w:tr w:rsidR="00B653BC" w:rsidRPr="00D65AE7" w14:paraId="62B5E667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52148A5E" w14:textId="4A051E19" w:rsidR="00B653BC" w:rsidRPr="0056206B" w:rsidRDefault="00B653BC" w:rsidP="0056206B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56206B">
              <w:rPr>
                <w:b/>
                <w:bCs/>
                <w:sz w:val="20"/>
                <w:szCs w:val="20"/>
              </w:rPr>
              <w:t>Systolic Demand, SPTI (mmHg-sec)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90D1F9F" w14:textId="41608451" w:rsidR="00B653BC" w:rsidRPr="0056206B" w:rsidRDefault="00B653BC" w:rsidP="0056206B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56206B">
              <w:rPr>
                <w:bCs/>
                <w:sz w:val="20"/>
                <w:szCs w:val="20"/>
              </w:rPr>
              <w:t>26.8±3.2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A31BD9E" w14:textId="3A2E384D" w:rsidR="00B653BC" w:rsidRPr="0056206B" w:rsidRDefault="00B653BC" w:rsidP="0056206B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56206B">
              <w:rPr>
                <w:bCs/>
                <w:sz w:val="20"/>
                <w:szCs w:val="20"/>
              </w:rPr>
              <w:t>20.9±2.9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1444271" w14:textId="1A32A4D0" w:rsidR="00B653BC" w:rsidRPr="0056206B" w:rsidRDefault="00B653BC" w:rsidP="0056206B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56206B">
              <w:rPr>
                <w:bCs/>
                <w:sz w:val="20"/>
                <w:szCs w:val="20"/>
              </w:rPr>
              <w:t>21.2±2.8</w:t>
            </w:r>
          </w:p>
        </w:tc>
      </w:tr>
      <w:tr w:rsidR="00B653BC" w:rsidRPr="00D65AE7" w14:paraId="358FE77A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B325CA2" w14:textId="23E973F0" w:rsidR="00B653BC" w:rsidRPr="0056206B" w:rsidRDefault="00B653BC" w:rsidP="0056206B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56206B">
              <w:rPr>
                <w:b/>
                <w:bCs/>
                <w:sz w:val="20"/>
                <w:szCs w:val="20"/>
              </w:rPr>
              <w:t>Diastolic Supply, DPTI (mmHg-sec)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61873D0" w14:textId="4E1196C1" w:rsidR="00B653BC" w:rsidRPr="0056206B" w:rsidRDefault="00B653BC" w:rsidP="0056206B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56206B">
              <w:rPr>
                <w:bCs/>
                <w:sz w:val="20"/>
                <w:szCs w:val="20"/>
              </w:rPr>
              <w:t>17.8±7.7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8B75D4D" w14:textId="5C6E0D3A" w:rsidR="00B653BC" w:rsidRPr="0056206B" w:rsidRDefault="00B653BC" w:rsidP="0056206B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56206B">
              <w:rPr>
                <w:bCs/>
                <w:sz w:val="20"/>
                <w:szCs w:val="20"/>
              </w:rPr>
              <w:t>14.7±3.0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D82FF7B" w14:textId="04FE584B" w:rsidR="00B653BC" w:rsidRPr="0056206B" w:rsidRDefault="00B653BC" w:rsidP="0056206B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56206B">
              <w:rPr>
                <w:bCs/>
                <w:sz w:val="20"/>
                <w:szCs w:val="20"/>
              </w:rPr>
              <w:t>14.6±3.0</w:t>
            </w:r>
          </w:p>
        </w:tc>
      </w:tr>
      <w:tr w:rsidR="00B653BC" w:rsidRPr="00D65AE7" w14:paraId="3D73F181" w14:textId="77777777" w:rsidTr="00B653BC">
        <w:trPr>
          <w:trHeight w:val="298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BED64DE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Supply/Demand, S/D Ratio, DPTI/SPTI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4391E3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0.65±0.21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4D7C9F2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0.70±0.11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56B38EF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0.68±0.07</w:t>
            </w:r>
          </w:p>
        </w:tc>
      </w:tr>
      <w:tr w:rsidR="00B653BC" w:rsidRPr="00D65AE7" w14:paraId="2F13877A" w14:textId="77777777" w:rsidTr="00B653BC">
        <w:trPr>
          <w:trHeight w:val="298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04C30C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End Diastolic Volume, EDV (mL)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BB6D63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94.9±14.3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7C39FD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81.0±13.8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9C96AD0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71.2±9.0</w:t>
            </w:r>
          </w:p>
        </w:tc>
      </w:tr>
      <w:tr w:rsidR="00B653BC" w:rsidRPr="00D65AE7" w14:paraId="0A56B176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412BF7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Stroke Volume, SV (mL)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4051A3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47.1±9.5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9C12228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36.1±7.9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483644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23.9±12.0</w:t>
            </w:r>
          </w:p>
        </w:tc>
      </w:tr>
      <w:tr w:rsidR="00B653BC" w:rsidRPr="00D65AE7" w14:paraId="2216C034" w14:textId="77777777" w:rsidTr="00B653BC">
        <w:trPr>
          <w:trHeight w:val="167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E2BEC7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Ejection Fraction, EF (%)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BDBA00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0.50±0.07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87F216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0.45±0.07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5F2B8F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0.33±0.17</w:t>
            </w:r>
          </w:p>
        </w:tc>
      </w:tr>
      <w:tr w:rsidR="00B653BC" w:rsidRPr="00D65AE7" w14:paraId="5FC7226D" w14:textId="77777777" w:rsidTr="00B653BC">
        <w:trPr>
          <w:trHeight w:val="150"/>
        </w:trPr>
        <w:tc>
          <w:tcPr>
            <w:tcW w:w="384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D847A8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D65AE7">
              <w:rPr>
                <w:b/>
                <w:bCs/>
                <w:sz w:val="20"/>
                <w:szCs w:val="20"/>
              </w:rPr>
              <w:t>P-V Loop Area, PVA (mL-mmHg)</w:t>
            </w:r>
          </w:p>
        </w:tc>
        <w:tc>
          <w:tcPr>
            <w:tcW w:w="1312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41DDC9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3097±510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90BC95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1558±508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9F5D32" w14:textId="77777777" w:rsidR="00B653BC" w:rsidRPr="00D65AE7" w:rsidRDefault="00B653BC" w:rsidP="00225D0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65AE7">
              <w:rPr>
                <w:bCs/>
                <w:sz w:val="20"/>
                <w:szCs w:val="20"/>
              </w:rPr>
              <w:t>1054±717</w:t>
            </w:r>
          </w:p>
        </w:tc>
      </w:tr>
    </w:tbl>
    <w:p w14:paraId="75809293" w14:textId="2DCD6FFF" w:rsidR="00651367" w:rsidRDefault="00651367" w:rsidP="00651367">
      <w:pPr>
        <w:autoSpaceDE w:val="0"/>
        <w:autoSpaceDN w:val="0"/>
        <w:adjustRightInd w:val="0"/>
        <w:jc w:val="both"/>
        <w:rPr>
          <w:bCs/>
        </w:rPr>
      </w:pPr>
      <w:r w:rsidRPr="00DC4505">
        <w:rPr>
          <w:bCs/>
        </w:rPr>
        <w:t xml:space="preserve">Table </w:t>
      </w:r>
      <w:r w:rsidR="00E036EF">
        <w:rPr>
          <w:bCs/>
        </w:rPr>
        <w:t>S2</w:t>
      </w:r>
      <w:r w:rsidRPr="00DC4505">
        <w:rPr>
          <w:bCs/>
        </w:rPr>
        <w:t xml:space="preserve">, </w:t>
      </w:r>
      <w:r>
        <w:rPr>
          <w:bCs/>
        </w:rPr>
        <w:t xml:space="preserve">LV </w:t>
      </w:r>
      <w:r w:rsidRPr="00DC4505">
        <w:rPr>
          <w:bCs/>
        </w:rPr>
        <w:t xml:space="preserve">Hemodynamic </w:t>
      </w:r>
      <w:r>
        <w:rPr>
          <w:bCs/>
        </w:rPr>
        <w:t>and Pressure-Volume measures</w:t>
      </w:r>
      <w:r w:rsidRPr="00DC4505">
        <w:rPr>
          <w:bCs/>
        </w:rPr>
        <w:t xml:space="preserve"> </w:t>
      </w:r>
      <w:r>
        <w:rPr>
          <w:bCs/>
        </w:rPr>
        <w:t xml:space="preserve">at Baseline (BL), </w:t>
      </w:r>
      <w:r w:rsidRPr="00DC4505">
        <w:rPr>
          <w:bCs/>
        </w:rPr>
        <w:t>Post</w:t>
      </w:r>
      <w:r>
        <w:rPr>
          <w:bCs/>
        </w:rPr>
        <w:t xml:space="preserve"> </w:t>
      </w:r>
      <w:r w:rsidRPr="00DC4505">
        <w:rPr>
          <w:bCs/>
        </w:rPr>
        <w:t>MI</w:t>
      </w:r>
      <w:r>
        <w:rPr>
          <w:bCs/>
        </w:rPr>
        <w:t xml:space="preserve"> (MI),</w:t>
      </w:r>
      <w:r w:rsidRPr="00DC4505">
        <w:rPr>
          <w:bCs/>
        </w:rPr>
        <w:t xml:space="preserve"> </w:t>
      </w:r>
      <w:r>
        <w:rPr>
          <w:bCs/>
        </w:rPr>
        <w:t xml:space="preserve">and Post Treatment Hydrogel (G) or Control (C) </w:t>
      </w:r>
      <w:r w:rsidRPr="00DC4505">
        <w:rPr>
          <w:bCs/>
        </w:rPr>
        <w:t xml:space="preserve">in the Hydrogel </w:t>
      </w:r>
      <w:r>
        <w:rPr>
          <w:bCs/>
        </w:rPr>
        <w:t xml:space="preserve">and Control groups.  </w:t>
      </w:r>
      <w:r w:rsidR="00681A8C">
        <w:rPr>
          <w:bCs/>
        </w:rPr>
        <w:t>Numerical changes and their statistical comparisons are shown in Supplemental Table S5.</w:t>
      </w:r>
    </w:p>
    <w:p w14:paraId="60840F94" w14:textId="70E9274E" w:rsidR="003B2153" w:rsidRDefault="00651367" w:rsidP="00651367">
      <w:pPr>
        <w:rPr>
          <w:bCs/>
        </w:rPr>
      </w:pPr>
      <w:r w:rsidRPr="002E3864">
        <w:rPr>
          <w:rFonts w:ascii="Segoe UI Symbol" w:hAnsi="Segoe UI Symbol" w:cs="Segoe UI Symbol"/>
          <w:bCs/>
          <w:vertAlign w:val="superscript"/>
        </w:rPr>
        <w:t>✕</w:t>
      </w:r>
      <w:r w:rsidRPr="002E3864">
        <w:rPr>
          <w:bCs/>
        </w:rPr>
        <w:t xml:space="preserve"> </w:t>
      </w:r>
      <w:r>
        <w:rPr>
          <w:bCs/>
        </w:rPr>
        <w:t xml:space="preserve">CTA scans at baseline were not repeated after Thoracotomy. </w:t>
      </w:r>
    </w:p>
    <w:p w14:paraId="53C2BD68" w14:textId="3EF3AA86" w:rsidR="00651367" w:rsidRPr="002E3864" w:rsidRDefault="003B2153" w:rsidP="00651367">
      <w:pPr>
        <w:rPr>
          <w:bCs/>
        </w:rPr>
      </w:pPr>
      <w:r>
        <w:rPr>
          <w:bCs/>
        </w:rPr>
        <w:br w:type="page"/>
      </w:r>
    </w:p>
    <w:p w14:paraId="45569C79" w14:textId="77777777" w:rsidR="00651367" w:rsidRPr="00026DE4" w:rsidRDefault="00651367" w:rsidP="00651367">
      <w:pPr>
        <w:autoSpaceDE w:val="0"/>
        <w:autoSpaceDN w:val="0"/>
        <w:adjustRightInd w:val="0"/>
        <w:jc w:val="both"/>
      </w:pPr>
    </w:p>
    <w:tbl>
      <w:tblPr>
        <w:tblW w:w="646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3"/>
        <w:gridCol w:w="2094"/>
        <w:gridCol w:w="1215"/>
        <w:gridCol w:w="1215"/>
        <w:gridCol w:w="1097"/>
      </w:tblGrid>
      <w:tr w:rsidR="00651367" w:rsidRPr="002E3864" w14:paraId="3C0D3733" w14:textId="77777777" w:rsidTr="00225D05">
        <w:trPr>
          <w:trHeight w:val="218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6BDA387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Strain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4373627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Hydrogel (N=8)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5255447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Baseline (BL)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41F0706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Post MI (MI)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55D6C37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Post Gel (G)</w:t>
            </w:r>
          </w:p>
        </w:tc>
      </w:tr>
      <w:tr w:rsidR="00651367" w:rsidRPr="002E3864" w14:paraId="1860FCA0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20B625D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Measure</w:t>
            </w:r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9C96485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Pr="002E3864">
              <w:rPr>
                <w:b/>
                <w:bCs/>
                <w:sz w:val="20"/>
                <w:szCs w:val="20"/>
              </w:rPr>
              <w:t xml:space="preserve">D </w:t>
            </w:r>
            <w:r>
              <w:rPr>
                <w:b/>
                <w:bCs/>
                <w:sz w:val="20"/>
                <w:szCs w:val="20"/>
              </w:rPr>
              <w:t>17-Segment Strain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E22413E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32DDC30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164F03D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Average</w:t>
            </w:r>
          </w:p>
        </w:tc>
      </w:tr>
      <w:tr w:rsidR="00651367" w:rsidRPr="002E3864" w14:paraId="4A10DBA6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BC83CE6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rr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BD5206E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A49E817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14.1±3.0%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5982CF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13.2±6.0%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4FC31D7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12.2±3.2%</w:t>
            </w:r>
          </w:p>
        </w:tc>
      </w:tr>
      <w:tr w:rsidR="00651367" w:rsidRPr="002E3864" w14:paraId="20C946F5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3C74148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cc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E200FB2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F06DD67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-8.4±1.9%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568AC08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-7.9±1.3%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9C933C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-8.3±2.5%</w:t>
            </w:r>
          </w:p>
        </w:tc>
      </w:tr>
      <w:tr w:rsidR="008F6184" w:rsidRPr="002E3864" w14:paraId="14FE2A37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2309F16C" w14:textId="1F1AA7A1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rr</w:t>
            </w:r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F7F73C1" w14:textId="4A0FC8FB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Infarct Region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788A3CE" w14:textId="610AAC89" w:rsidR="008F6184" w:rsidRPr="002E3864" w:rsidRDefault="002221BF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21.7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6.3%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000F6DF" w14:textId="38E4B532" w:rsidR="008F6184" w:rsidRPr="002E3864" w:rsidRDefault="002221BF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4.4%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00B851B" w14:textId="7DFF23E8" w:rsidR="008F6184" w:rsidRPr="002E3864" w:rsidRDefault="002221BF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15.8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3.7%</w:t>
            </w:r>
          </w:p>
        </w:tc>
      </w:tr>
      <w:tr w:rsidR="008F6184" w:rsidRPr="002E3864" w14:paraId="46041304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73BCFE81" w14:textId="5C9D8A0D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cc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47C9E5D" w14:textId="7CD454F9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Infarct Region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BD4273C" w14:textId="0F2EAFFA" w:rsidR="008F6184" w:rsidRPr="002E3864" w:rsidRDefault="00C93384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-9.3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2.9%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4F1ED49" w14:textId="1C8C9769" w:rsidR="008F6184" w:rsidRPr="002E3864" w:rsidRDefault="00C93384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-6.0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3.1%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028BDBE" w14:textId="42E62E6B" w:rsidR="008F6184" w:rsidRPr="002E3864" w:rsidRDefault="00C93384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-9.0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3.1%</w:t>
            </w:r>
          </w:p>
        </w:tc>
      </w:tr>
      <w:tr w:rsidR="008F6184" w:rsidRPr="002E3864" w14:paraId="6F1C387A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4B7208E" w14:textId="22C60844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rr</w:t>
            </w:r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068C2C6" w14:textId="633B3DD5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NonInfarcted</w:t>
            </w:r>
            <w:proofErr w:type="spellEnd"/>
            <w:r w:rsidRPr="002E3864">
              <w:rPr>
                <w:b/>
                <w:bCs/>
                <w:sz w:val="20"/>
                <w:szCs w:val="20"/>
              </w:rPr>
              <w:t xml:space="preserve"> Regions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E0501F2" w14:textId="1E652D3F" w:rsidR="008F6184" w:rsidRPr="002E3864" w:rsidRDefault="005D3C01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3.0%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128567C" w14:textId="1206E42C" w:rsidR="008F6184" w:rsidRPr="002E3864" w:rsidRDefault="005D3C01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6.6%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38ACE61" w14:textId="11DAF80F" w:rsidR="008F6184" w:rsidRPr="002E3864" w:rsidRDefault="005D3C01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3.8%</w:t>
            </w:r>
          </w:p>
        </w:tc>
      </w:tr>
      <w:tr w:rsidR="008F6184" w:rsidRPr="002E3864" w14:paraId="7D2177CD" w14:textId="77777777" w:rsidTr="00AB6314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1C843C5B" w14:textId="2237CFA1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cc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180C30C6" w14:textId="4A339438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NonInfarcted</w:t>
            </w:r>
            <w:proofErr w:type="spellEnd"/>
            <w:r w:rsidRPr="002E3864">
              <w:rPr>
                <w:b/>
                <w:bCs/>
                <w:sz w:val="20"/>
                <w:szCs w:val="20"/>
              </w:rPr>
              <w:t xml:space="preserve"> Regions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6B7DADF" w14:textId="40458BE8" w:rsidR="008F6184" w:rsidRPr="002E3864" w:rsidRDefault="00F93838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-8.3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2.0%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65466AA" w14:textId="7080CBCA" w:rsidR="008F6184" w:rsidRPr="002E3864" w:rsidRDefault="00F93838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-8.3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1.4%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EF376CE" w14:textId="1787D2BE" w:rsidR="008F6184" w:rsidRPr="002E3864" w:rsidRDefault="00F93838" w:rsidP="008F618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-8.3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2.7%</w:t>
            </w:r>
          </w:p>
        </w:tc>
      </w:tr>
      <w:tr w:rsidR="00651367" w:rsidRPr="002E3864" w14:paraId="2F0CE74F" w14:textId="77777777" w:rsidTr="00AB6314">
        <w:trPr>
          <w:trHeight w:val="218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4B3D688" w14:textId="35AF5B86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="00AB6314" w:rsidRPr="00AB6314">
              <w:rPr>
                <w:b/>
                <w:bCs/>
                <w:sz w:val="20"/>
                <w:szCs w:val="20"/>
                <w:vertAlign w:val="superscript"/>
              </w:rPr>
              <w:t>N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rr</w:t>
            </w:r>
            <w:proofErr w:type="spellEnd"/>
          </w:p>
        </w:tc>
        <w:tc>
          <w:tcPr>
            <w:tcW w:w="2094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239FBB7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Infarct Region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7A934A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1.58±0.50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A7168BB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0.90±0.38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CBA885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1.38±0.48</w:t>
            </w:r>
          </w:p>
        </w:tc>
      </w:tr>
      <w:tr w:rsidR="00651367" w:rsidRPr="002E3864" w14:paraId="304E35C5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D12983E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perscript"/>
              </w:rPr>
              <w:t>N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cc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D67547E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Infarct Region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0215B0A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1.12±0.33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AAE4C74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0.76±0.33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B7ABFF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1.09±0.22</w:t>
            </w:r>
          </w:p>
        </w:tc>
      </w:tr>
      <w:tr w:rsidR="00651367" w:rsidRPr="002E3864" w14:paraId="2F39D823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371A221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perscript"/>
              </w:rPr>
              <w:t>N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rr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965A47A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NonInfarcted</w:t>
            </w:r>
            <w:proofErr w:type="spellEnd"/>
            <w:r w:rsidRPr="002E3864">
              <w:rPr>
                <w:b/>
                <w:bCs/>
                <w:sz w:val="20"/>
                <w:szCs w:val="20"/>
              </w:rPr>
              <w:t xml:space="preserve"> Regions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B63CA04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0.93±0.05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E49D24B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1.01±0.05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1157518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0.93±0.10</w:t>
            </w:r>
          </w:p>
        </w:tc>
      </w:tr>
      <w:tr w:rsidR="00651367" w:rsidRPr="002E3864" w14:paraId="1F1793EC" w14:textId="77777777" w:rsidTr="00AB6314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92575F4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perscript"/>
              </w:rPr>
              <w:t>N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cc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D2B02AC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NonInfarcted</w:t>
            </w:r>
            <w:proofErr w:type="spellEnd"/>
            <w:r w:rsidRPr="002E3864">
              <w:rPr>
                <w:b/>
                <w:bCs/>
                <w:sz w:val="20"/>
                <w:szCs w:val="20"/>
              </w:rPr>
              <w:t xml:space="preserve"> Regions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612475E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0.99±0.04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648B48B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1.05±0.06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E4318B4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sz w:val="20"/>
                <w:szCs w:val="20"/>
              </w:rPr>
              <w:t>0.99±0.04</w:t>
            </w:r>
          </w:p>
        </w:tc>
      </w:tr>
      <w:tr w:rsidR="00651367" w:rsidRPr="002E3864" w14:paraId="3DB3E5D5" w14:textId="77777777" w:rsidTr="00AB6314">
        <w:trPr>
          <w:trHeight w:val="218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692992D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Strain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10B4863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Control (N=5)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8E4CD2A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Baseline (BL)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C9F9DE0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Post MI (MI)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2785724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611053">
              <w:rPr>
                <w:b/>
                <w:bCs/>
                <w:sz w:val="20"/>
                <w:szCs w:val="20"/>
              </w:rPr>
              <w:t>Control (C)</w:t>
            </w:r>
          </w:p>
        </w:tc>
      </w:tr>
      <w:tr w:rsidR="00651367" w:rsidRPr="002E3864" w14:paraId="406C98C1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984E97B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Measure</w:t>
            </w:r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AFDEA00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Pr="002E3864">
              <w:rPr>
                <w:b/>
                <w:bCs/>
                <w:sz w:val="20"/>
                <w:szCs w:val="20"/>
              </w:rPr>
              <w:t xml:space="preserve">D </w:t>
            </w:r>
            <w:r>
              <w:rPr>
                <w:b/>
                <w:bCs/>
                <w:sz w:val="20"/>
                <w:szCs w:val="20"/>
              </w:rPr>
              <w:t>17-Segment Strain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A06E56E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59C8839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122D5B0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Average</w:t>
            </w:r>
          </w:p>
        </w:tc>
      </w:tr>
      <w:tr w:rsidR="00651367" w:rsidRPr="002E3864" w14:paraId="36629182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12CF975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rr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56AD312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E304402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11.6±4.0%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AE0534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8.8±5.8%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0A54C3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7.0±3.3%</w:t>
            </w:r>
          </w:p>
        </w:tc>
      </w:tr>
      <w:tr w:rsidR="00651367" w:rsidRPr="002E3864" w14:paraId="47F5BE79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E750BCE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cc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B52C708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1AA7F02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-7.0±0.9%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4D7485D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-6.2±1.3%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200136B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-6.5±2.0%</w:t>
            </w:r>
          </w:p>
        </w:tc>
      </w:tr>
      <w:tr w:rsidR="008F6184" w:rsidRPr="002E3864" w14:paraId="7F855B96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A44BE3E" w14:textId="29EB262C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rr</w:t>
            </w:r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A432617" w14:textId="3D2422FA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Infarct Region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D192AD5" w14:textId="4847B33D" w:rsidR="008F6184" w:rsidRPr="006359C7" w:rsidRDefault="00F769CA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14.7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5.2%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98CE521" w14:textId="4608C6A6" w:rsidR="008F6184" w:rsidRPr="006359C7" w:rsidRDefault="00F769CA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3.2%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D3EDBDC" w14:textId="6D117152" w:rsidR="008F6184" w:rsidRPr="006359C7" w:rsidRDefault="00F769CA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1.5%</w:t>
            </w:r>
          </w:p>
        </w:tc>
      </w:tr>
      <w:tr w:rsidR="008F6184" w:rsidRPr="002E3864" w14:paraId="520EB68D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01CFF801" w14:textId="2E5EA51E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cc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2269F19E" w14:textId="7FF130A2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Infarct Region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566F72B" w14:textId="190C743A" w:rsidR="008F6184" w:rsidRPr="006359C7" w:rsidRDefault="00E94D4A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-8.5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1.8%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A250303" w14:textId="2BD6830D" w:rsidR="008F6184" w:rsidRPr="006359C7" w:rsidRDefault="00E94D4A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-5.4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1.3%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8F1747D" w14:textId="2E815544" w:rsidR="008F6184" w:rsidRPr="006359C7" w:rsidRDefault="00E94D4A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-4.2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2.0%</w:t>
            </w:r>
          </w:p>
        </w:tc>
      </w:tr>
      <w:tr w:rsidR="008F6184" w:rsidRPr="002E3864" w14:paraId="35655412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151C19F0" w14:textId="62E3B4A8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rr</w:t>
            </w:r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721BCE6C" w14:textId="549669F8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NonInfarcted</w:t>
            </w:r>
            <w:proofErr w:type="spellEnd"/>
            <w:r w:rsidRPr="002E3864">
              <w:rPr>
                <w:b/>
                <w:bCs/>
                <w:sz w:val="20"/>
                <w:szCs w:val="20"/>
              </w:rPr>
              <w:t xml:space="preserve"> Regions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FCAF4F4" w14:textId="52CF4127" w:rsidR="008F6184" w:rsidRPr="006359C7" w:rsidRDefault="00E94D4A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11.2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3.9%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82407E4" w14:textId="6137A6D8" w:rsidR="008F6184" w:rsidRPr="006359C7" w:rsidRDefault="00E94D4A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6.2%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94F61BD" w14:textId="3D7EE451" w:rsidR="008F6184" w:rsidRPr="006359C7" w:rsidRDefault="00E94D4A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3.6%</w:t>
            </w:r>
          </w:p>
        </w:tc>
      </w:tr>
      <w:tr w:rsidR="008F6184" w:rsidRPr="002E3864" w14:paraId="711DA400" w14:textId="77777777" w:rsidTr="00AB6314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16C3A993" w14:textId="296C403D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cc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6B4D24E5" w14:textId="38E92247" w:rsidR="008F6184" w:rsidRPr="002E3864" w:rsidRDefault="008F6184" w:rsidP="008F6184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NonInfarcted</w:t>
            </w:r>
            <w:proofErr w:type="spellEnd"/>
            <w:r w:rsidRPr="002E3864">
              <w:rPr>
                <w:b/>
                <w:bCs/>
                <w:sz w:val="20"/>
                <w:szCs w:val="20"/>
              </w:rPr>
              <w:t xml:space="preserve"> Regions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98D63C0" w14:textId="28A3BB87" w:rsidR="008F6184" w:rsidRPr="006359C7" w:rsidRDefault="00210DD9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-6.8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0.8%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0386849" w14:textId="308060A3" w:rsidR="008F6184" w:rsidRPr="006359C7" w:rsidRDefault="00210DD9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-6.3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1.3%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F058073" w14:textId="0D8D6FD9" w:rsidR="008F6184" w:rsidRPr="006359C7" w:rsidRDefault="00210DD9" w:rsidP="008F6184">
            <w:pPr>
              <w:autoSpaceDE w:val="0"/>
              <w:autoSpaceDN w:val="0"/>
              <w:adjustRightInd w:val="0"/>
              <w:jc w:val="center"/>
              <w:rPr>
                <w:color w:val="000000" w:themeColor="dark1"/>
                <w:kern w:val="24"/>
                <w:sz w:val="20"/>
                <w:szCs w:val="20"/>
              </w:rPr>
            </w:pPr>
            <w:r>
              <w:rPr>
                <w:sz w:val="20"/>
                <w:szCs w:val="20"/>
              </w:rPr>
              <w:t>-6.8</w:t>
            </w:r>
            <w:r w:rsidR="008F6184" w:rsidRPr="002E3864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2.1%</w:t>
            </w:r>
          </w:p>
        </w:tc>
      </w:tr>
      <w:tr w:rsidR="00651367" w:rsidRPr="002E3864" w14:paraId="1C1D03DA" w14:textId="77777777" w:rsidTr="00AB6314">
        <w:trPr>
          <w:trHeight w:val="218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998F030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perscript"/>
              </w:rPr>
              <w:t>N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rr</w:t>
            </w:r>
            <w:proofErr w:type="spellEnd"/>
          </w:p>
        </w:tc>
        <w:tc>
          <w:tcPr>
            <w:tcW w:w="2094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B433F2C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Infarct Region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DDB5DBE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1.29±0.26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3A804F0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0.86±0.24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FD22687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0.77±0.34</w:t>
            </w:r>
          </w:p>
        </w:tc>
      </w:tr>
      <w:tr w:rsidR="00651367" w:rsidRPr="002E3864" w14:paraId="66111446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02990DF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perscript"/>
              </w:rPr>
              <w:t>N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cc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5A78A35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E3864">
              <w:rPr>
                <w:b/>
                <w:bCs/>
                <w:sz w:val="20"/>
                <w:szCs w:val="20"/>
              </w:rPr>
              <w:t>Infarct Region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76E133B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1.21±0.15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4E4A191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0.88±0.19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216F711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0.66±0.29</w:t>
            </w:r>
          </w:p>
        </w:tc>
      </w:tr>
      <w:tr w:rsidR="00651367" w:rsidRPr="002E3864" w14:paraId="29A1C753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843BE1C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perscript"/>
              </w:rPr>
              <w:t>N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rr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9E11B9B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NonInfarcted</w:t>
            </w:r>
            <w:proofErr w:type="spellEnd"/>
            <w:r w:rsidRPr="002E3864">
              <w:rPr>
                <w:b/>
                <w:bCs/>
                <w:sz w:val="20"/>
                <w:szCs w:val="20"/>
              </w:rPr>
              <w:t xml:space="preserve"> Regions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BECBE35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0.96±0.04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449DA3B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1.02±0.03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04607B0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1.03±0.05</w:t>
            </w:r>
          </w:p>
        </w:tc>
      </w:tr>
      <w:tr w:rsidR="00651367" w:rsidRPr="002E3864" w14:paraId="54A854CD" w14:textId="77777777" w:rsidTr="00225D05">
        <w:trPr>
          <w:trHeight w:val="218"/>
        </w:trPr>
        <w:tc>
          <w:tcPr>
            <w:tcW w:w="843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E689391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E</w:t>
            </w:r>
            <w:r w:rsidRPr="002E3864">
              <w:rPr>
                <w:b/>
                <w:bCs/>
                <w:sz w:val="20"/>
                <w:szCs w:val="20"/>
                <w:vertAlign w:val="superscript"/>
              </w:rPr>
              <w:t>N</w:t>
            </w:r>
            <w:r w:rsidRPr="002E3864">
              <w:rPr>
                <w:b/>
                <w:bCs/>
                <w:sz w:val="20"/>
                <w:szCs w:val="20"/>
                <w:vertAlign w:val="subscript"/>
              </w:rPr>
              <w:t>cc</w:t>
            </w:r>
            <w:proofErr w:type="spellEnd"/>
          </w:p>
        </w:tc>
        <w:tc>
          <w:tcPr>
            <w:tcW w:w="209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CF20867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2E3864">
              <w:rPr>
                <w:b/>
                <w:bCs/>
                <w:sz w:val="20"/>
                <w:szCs w:val="20"/>
              </w:rPr>
              <w:t>NonInfarcted</w:t>
            </w:r>
            <w:proofErr w:type="spellEnd"/>
            <w:r w:rsidRPr="002E3864">
              <w:rPr>
                <w:b/>
                <w:bCs/>
                <w:sz w:val="20"/>
                <w:szCs w:val="20"/>
              </w:rPr>
              <w:t xml:space="preserve"> Regions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000000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C393261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0.97±0.02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94EA0B6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1.01±0.03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8782822" w14:textId="77777777" w:rsidR="00651367" w:rsidRPr="002E3864" w:rsidRDefault="00651367" w:rsidP="00225D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59C7">
              <w:rPr>
                <w:color w:val="000000" w:themeColor="dark1"/>
                <w:kern w:val="24"/>
                <w:sz w:val="20"/>
                <w:szCs w:val="20"/>
              </w:rPr>
              <w:t>1.05±0.04</w:t>
            </w:r>
          </w:p>
        </w:tc>
      </w:tr>
    </w:tbl>
    <w:p w14:paraId="58CA1C01" w14:textId="12493126" w:rsidR="00651367" w:rsidRDefault="00651367" w:rsidP="00651367">
      <w:pPr>
        <w:autoSpaceDE w:val="0"/>
        <w:autoSpaceDN w:val="0"/>
        <w:adjustRightInd w:val="0"/>
        <w:jc w:val="both"/>
        <w:rPr>
          <w:bCs/>
        </w:rPr>
      </w:pPr>
      <w:r w:rsidRPr="00DC4505">
        <w:t xml:space="preserve">Table </w:t>
      </w:r>
      <w:r w:rsidR="00E036EF">
        <w:t>S3</w:t>
      </w:r>
      <w:r>
        <w:t>,</w:t>
      </w:r>
      <w:r w:rsidRPr="00DC4505">
        <w:t xml:space="preserve"> 3D </w:t>
      </w:r>
      <w:r w:rsidR="005A3387">
        <w:t xml:space="preserve">average </w:t>
      </w:r>
      <w:r w:rsidR="003B2153">
        <w:t xml:space="preserve">strain </w:t>
      </w:r>
      <w:r w:rsidR="005A3387" w:rsidRPr="005A3387">
        <w:t>(E</w:t>
      </w:r>
      <w:r w:rsidR="005A3387" w:rsidRPr="005A3387">
        <w:rPr>
          <w:vertAlign w:val="subscript"/>
        </w:rPr>
        <w:t>rr</w:t>
      </w:r>
      <w:r w:rsidR="005A3387" w:rsidRPr="005A3387">
        <w:t xml:space="preserve">, </w:t>
      </w:r>
      <w:proofErr w:type="spellStart"/>
      <w:r w:rsidR="005A3387" w:rsidRPr="005A3387">
        <w:t>E</w:t>
      </w:r>
      <w:r w:rsidR="005A3387" w:rsidRPr="005A3387">
        <w:rPr>
          <w:vertAlign w:val="subscript"/>
        </w:rPr>
        <w:t>cc</w:t>
      </w:r>
      <w:proofErr w:type="spellEnd"/>
      <w:r w:rsidR="005A3387" w:rsidRPr="005A3387">
        <w:t>)</w:t>
      </w:r>
      <w:r w:rsidR="005A3387">
        <w:t xml:space="preserve"> and normalized </w:t>
      </w:r>
      <w:r w:rsidR="003B2153">
        <w:t xml:space="preserve">strain </w:t>
      </w:r>
      <w:r w:rsidR="005A3387" w:rsidRPr="005A3387">
        <w:t>(</w:t>
      </w:r>
      <w:proofErr w:type="spellStart"/>
      <w:r w:rsidR="005A3387" w:rsidRPr="005A3387">
        <w:t>E</w:t>
      </w:r>
      <w:r w:rsidR="005A3387" w:rsidRPr="005A3387">
        <w:rPr>
          <w:vertAlign w:val="superscript"/>
        </w:rPr>
        <w:t>N</w:t>
      </w:r>
      <w:r w:rsidR="005A3387" w:rsidRPr="005A3387">
        <w:rPr>
          <w:vertAlign w:val="subscript"/>
        </w:rPr>
        <w:t>rr</w:t>
      </w:r>
      <w:proofErr w:type="spellEnd"/>
      <w:r w:rsidR="005A3387" w:rsidRPr="005A3387">
        <w:t xml:space="preserve">, </w:t>
      </w:r>
      <w:proofErr w:type="spellStart"/>
      <w:r w:rsidR="005A3387" w:rsidRPr="005A3387">
        <w:t>E</w:t>
      </w:r>
      <w:r w:rsidR="005A3387" w:rsidRPr="005A3387">
        <w:rPr>
          <w:vertAlign w:val="superscript"/>
        </w:rPr>
        <w:t>N</w:t>
      </w:r>
      <w:r w:rsidR="005A3387" w:rsidRPr="005A3387">
        <w:rPr>
          <w:vertAlign w:val="subscript"/>
        </w:rPr>
        <w:t>cc</w:t>
      </w:r>
      <w:proofErr w:type="spellEnd"/>
      <w:r w:rsidR="005A3387" w:rsidRPr="005A3387">
        <w:t>)</w:t>
      </w:r>
      <w:r w:rsidR="005A3387">
        <w:t xml:space="preserve"> </w:t>
      </w:r>
      <w:r w:rsidRPr="00DC4505">
        <w:t xml:space="preserve">in </w:t>
      </w:r>
      <w:r w:rsidR="002221BF">
        <w:t xml:space="preserve">infarcted and </w:t>
      </w:r>
      <w:proofErr w:type="spellStart"/>
      <w:r w:rsidR="002221BF">
        <w:t>noninfarcted</w:t>
      </w:r>
      <w:proofErr w:type="spellEnd"/>
      <w:r w:rsidR="002221BF">
        <w:t xml:space="preserve"> </w:t>
      </w:r>
      <w:r w:rsidRPr="00DC4505">
        <w:t xml:space="preserve">17 segments </w:t>
      </w:r>
      <w:r>
        <w:rPr>
          <w:bCs/>
        </w:rPr>
        <w:t xml:space="preserve">at Baseline (BL), </w:t>
      </w:r>
      <w:r w:rsidRPr="00DC4505">
        <w:rPr>
          <w:bCs/>
        </w:rPr>
        <w:t>Post</w:t>
      </w:r>
      <w:r>
        <w:rPr>
          <w:bCs/>
        </w:rPr>
        <w:t xml:space="preserve"> </w:t>
      </w:r>
      <w:r w:rsidRPr="00DC4505">
        <w:rPr>
          <w:bCs/>
        </w:rPr>
        <w:t>MI</w:t>
      </w:r>
      <w:r>
        <w:rPr>
          <w:bCs/>
        </w:rPr>
        <w:t xml:space="preserve"> (MI),</w:t>
      </w:r>
      <w:r w:rsidRPr="00DC4505">
        <w:rPr>
          <w:bCs/>
        </w:rPr>
        <w:t xml:space="preserve"> </w:t>
      </w:r>
      <w:r>
        <w:rPr>
          <w:bCs/>
        </w:rPr>
        <w:t xml:space="preserve">and Post Gel (G) or Control (C) </w:t>
      </w:r>
      <w:r w:rsidRPr="00DC4505">
        <w:rPr>
          <w:bCs/>
        </w:rPr>
        <w:t xml:space="preserve">in the Hydrogel </w:t>
      </w:r>
      <w:r>
        <w:rPr>
          <w:bCs/>
        </w:rPr>
        <w:t>and Control groups.</w:t>
      </w:r>
      <w:r w:rsidR="00681A8C">
        <w:rPr>
          <w:bCs/>
        </w:rPr>
        <w:t xml:space="preserve"> </w:t>
      </w:r>
      <w:r>
        <w:rPr>
          <w:bCs/>
        </w:rPr>
        <w:t>Numerical changes and their statistical comparisons are shown in Supplemental Table S</w:t>
      </w:r>
      <w:r w:rsidR="00681A8C">
        <w:rPr>
          <w:bCs/>
        </w:rPr>
        <w:t>5</w:t>
      </w:r>
      <w:r>
        <w:rPr>
          <w:bCs/>
        </w:rPr>
        <w:t xml:space="preserve">. </w:t>
      </w:r>
    </w:p>
    <w:p w14:paraId="5CA142E7" w14:textId="77777777" w:rsidR="00651367" w:rsidRPr="000F5346" w:rsidRDefault="00651367" w:rsidP="00651367">
      <w:pPr>
        <w:autoSpaceDE w:val="0"/>
        <w:autoSpaceDN w:val="0"/>
        <w:adjustRightInd w:val="0"/>
        <w:jc w:val="both"/>
        <w:rPr>
          <w:bCs/>
        </w:rPr>
      </w:pPr>
    </w:p>
    <w:p w14:paraId="31909161" w14:textId="77777777" w:rsidR="00651367" w:rsidRDefault="00651367" w:rsidP="00651367">
      <w:pPr>
        <w:autoSpaceDE w:val="0"/>
        <w:autoSpaceDN w:val="0"/>
        <w:adjustRightInd w:val="0"/>
        <w:jc w:val="both"/>
      </w:pPr>
    </w:p>
    <w:tbl>
      <w:tblPr>
        <w:tblW w:w="66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5"/>
        <w:gridCol w:w="1245"/>
        <w:gridCol w:w="1263"/>
        <w:gridCol w:w="1138"/>
      </w:tblGrid>
      <w:tr w:rsidR="00651367" w:rsidRPr="00733220" w14:paraId="400E0833" w14:textId="77777777" w:rsidTr="00225D05">
        <w:trPr>
          <w:trHeight w:val="28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225FA93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Hydrogel (N=8)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60AA60E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Baseline (BL)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19139F4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Post MI (MI)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B6941CB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Post Gel (G)</w:t>
            </w:r>
          </w:p>
        </w:tc>
      </w:tr>
      <w:tr w:rsidR="00651367" w:rsidRPr="00733220" w14:paraId="73B8EC45" w14:textId="77777777" w:rsidTr="00225D05">
        <w:trPr>
          <w:trHeight w:val="144"/>
        </w:trPr>
        <w:tc>
          <w:tcPr>
            <w:tcW w:w="2985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55D6550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LV ED Thickness Changes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B04B7A2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6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F058836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13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2474899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Average</w:t>
            </w:r>
          </w:p>
        </w:tc>
      </w:tr>
      <w:tr w:rsidR="00651367" w:rsidRPr="00733220" w14:paraId="1605F1FF" w14:textId="77777777" w:rsidTr="00225D05">
        <w:trPr>
          <w:trHeight w:val="144"/>
        </w:trPr>
        <w:tc>
          <w:tcPr>
            <w:tcW w:w="2985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84D1957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Infarct Region (mm)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0D1E543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6.83±0.52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F552031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7.44±1.12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FC0E460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8.26±1.09</w:t>
            </w:r>
          </w:p>
        </w:tc>
      </w:tr>
      <w:tr w:rsidR="00651367" w:rsidRPr="00733220" w14:paraId="032114AD" w14:textId="77777777" w:rsidTr="00225D05">
        <w:trPr>
          <w:trHeight w:val="144"/>
        </w:trPr>
        <w:tc>
          <w:tcPr>
            <w:tcW w:w="298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D21832C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733220">
              <w:rPr>
                <w:b/>
                <w:bCs/>
                <w:sz w:val="20"/>
                <w:szCs w:val="20"/>
              </w:rPr>
              <w:t>NonInfarcted</w:t>
            </w:r>
            <w:proofErr w:type="spellEnd"/>
            <w:r w:rsidRPr="00733220">
              <w:rPr>
                <w:b/>
                <w:bCs/>
                <w:sz w:val="20"/>
                <w:szCs w:val="20"/>
              </w:rPr>
              <w:t xml:space="preserve"> Region (mm)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9B23064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6.73±0.49</w:t>
            </w:r>
          </w:p>
        </w:tc>
        <w:tc>
          <w:tcPr>
            <w:tcW w:w="1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3F7141E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7.10±0.55</w:t>
            </w:r>
          </w:p>
        </w:tc>
        <w:tc>
          <w:tcPr>
            <w:tcW w:w="11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8CB87B0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7.29±0.60</w:t>
            </w:r>
          </w:p>
        </w:tc>
      </w:tr>
      <w:tr w:rsidR="00651367" w:rsidRPr="00733220" w14:paraId="25EA033D" w14:textId="77777777" w:rsidTr="00225D05">
        <w:trPr>
          <w:trHeight w:val="144"/>
        </w:trPr>
        <w:tc>
          <w:tcPr>
            <w:tcW w:w="2985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722EAFE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Average (mm)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19DEA52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6.74±0.46</w:t>
            </w:r>
          </w:p>
        </w:tc>
        <w:tc>
          <w:tcPr>
            <w:tcW w:w="126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2330051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7.13±0.59</w:t>
            </w:r>
          </w:p>
        </w:tc>
        <w:tc>
          <w:tcPr>
            <w:tcW w:w="113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99FE391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7.43±0.64</w:t>
            </w:r>
          </w:p>
        </w:tc>
      </w:tr>
      <w:tr w:rsidR="00651367" w:rsidRPr="00733220" w14:paraId="6F131D0E" w14:textId="77777777" w:rsidTr="00225D05">
        <w:trPr>
          <w:trHeight w:val="280"/>
        </w:trPr>
        <w:tc>
          <w:tcPr>
            <w:tcW w:w="2985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D8AF6EB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Control (N=5)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72F5698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Baseline (BL)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E19F6C5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Post MI (MI)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51CDB39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Control (C)</w:t>
            </w:r>
          </w:p>
        </w:tc>
      </w:tr>
      <w:tr w:rsidR="00651367" w:rsidRPr="00733220" w14:paraId="69242F5A" w14:textId="77777777" w:rsidTr="00225D05">
        <w:trPr>
          <w:trHeight w:val="144"/>
        </w:trPr>
        <w:tc>
          <w:tcPr>
            <w:tcW w:w="2985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B4E8BF6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LV ED Thickness Changes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F5C292C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6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DA4376E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13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FEF4484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Average</w:t>
            </w:r>
          </w:p>
        </w:tc>
      </w:tr>
      <w:tr w:rsidR="00651367" w:rsidRPr="00733220" w14:paraId="290E62F0" w14:textId="77777777" w:rsidTr="00225D05">
        <w:trPr>
          <w:trHeight w:val="144"/>
        </w:trPr>
        <w:tc>
          <w:tcPr>
            <w:tcW w:w="2985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C3980C3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Infarct Region (mm)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50D965A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6.71±0.63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54DC88B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8.07±0.81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4137221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7.74±1.11</w:t>
            </w:r>
          </w:p>
        </w:tc>
      </w:tr>
      <w:tr w:rsidR="00651367" w:rsidRPr="00733220" w14:paraId="003DA752" w14:textId="77777777" w:rsidTr="00225D05">
        <w:trPr>
          <w:trHeight w:val="144"/>
        </w:trPr>
        <w:tc>
          <w:tcPr>
            <w:tcW w:w="298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7F649E9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733220">
              <w:rPr>
                <w:b/>
                <w:bCs/>
                <w:sz w:val="20"/>
                <w:szCs w:val="20"/>
              </w:rPr>
              <w:t>NonInfarcted</w:t>
            </w:r>
            <w:proofErr w:type="spellEnd"/>
            <w:r w:rsidRPr="00733220">
              <w:rPr>
                <w:b/>
                <w:bCs/>
                <w:sz w:val="20"/>
                <w:szCs w:val="20"/>
              </w:rPr>
              <w:t xml:space="preserve"> Region (mm)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E7E3661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6.84±0.48</w:t>
            </w:r>
          </w:p>
        </w:tc>
        <w:tc>
          <w:tcPr>
            <w:tcW w:w="1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AF8ECB3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7.31±0.42</w:t>
            </w:r>
          </w:p>
        </w:tc>
        <w:tc>
          <w:tcPr>
            <w:tcW w:w="11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A9D511C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6.98±0.79</w:t>
            </w:r>
          </w:p>
        </w:tc>
      </w:tr>
      <w:tr w:rsidR="00651367" w:rsidRPr="00733220" w14:paraId="407DD736" w14:textId="77777777" w:rsidTr="00225D05">
        <w:trPr>
          <w:trHeight w:val="144"/>
        </w:trPr>
        <w:tc>
          <w:tcPr>
            <w:tcW w:w="2985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848A9E9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b/>
                <w:bCs/>
                <w:sz w:val="20"/>
                <w:szCs w:val="20"/>
              </w:rPr>
              <w:t>Average (mm)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000000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6AB4787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6.83±0.49</w:t>
            </w:r>
          </w:p>
        </w:tc>
        <w:tc>
          <w:tcPr>
            <w:tcW w:w="126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3E4063F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7.38±0.32</w:t>
            </w:r>
          </w:p>
        </w:tc>
        <w:tc>
          <w:tcPr>
            <w:tcW w:w="113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DD070A1" w14:textId="77777777" w:rsidR="00651367" w:rsidRPr="00733220" w:rsidRDefault="00651367" w:rsidP="00225D0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733220">
              <w:rPr>
                <w:sz w:val="20"/>
                <w:szCs w:val="20"/>
              </w:rPr>
              <w:t>7.06±0.79</w:t>
            </w:r>
          </w:p>
        </w:tc>
      </w:tr>
    </w:tbl>
    <w:p w14:paraId="6B771630" w14:textId="4FD4387C" w:rsidR="00651367" w:rsidRDefault="00651367" w:rsidP="003B2153">
      <w:pPr>
        <w:autoSpaceDE w:val="0"/>
        <w:autoSpaceDN w:val="0"/>
        <w:adjustRightInd w:val="0"/>
        <w:jc w:val="both"/>
        <w:rPr>
          <w:bCs/>
        </w:rPr>
      </w:pPr>
      <w:r w:rsidRPr="00DC4505">
        <w:t xml:space="preserve">Table </w:t>
      </w:r>
      <w:r w:rsidR="00E036EF">
        <w:t>S4</w:t>
      </w:r>
      <w:r w:rsidRPr="00DC4505">
        <w:t xml:space="preserve">, </w:t>
      </w:r>
      <w:r>
        <w:t>LV ED thickness</w:t>
      </w:r>
      <w:r w:rsidRPr="00DC4505">
        <w:t xml:space="preserve"> </w:t>
      </w:r>
      <w:r>
        <w:t>measures</w:t>
      </w:r>
      <w:r w:rsidRPr="00DC4505">
        <w:t xml:space="preserve"> in 17 segments </w:t>
      </w:r>
      <w:r>
        <w:rPr>
          <w:bCs/>
        </w:rPr>
        <w:t xml:space="preserve">at Baseline (BL), </w:t>
      </w:r>
      <w:r w:rsidRPr="00DC4505">
        <w:rPr>
          <w:bCs/>
        </w:rPr>
        <w:t>Post</w:t>
      </w:r>
      <w:r>
        <w:rPr>
          <w:bCs/>
        </w:rPr>
        <w:t xml:space="preserve"> </w:t>
      </w:r>
      <w:r w:rsidRPr="00DC4505">
        <w:rPr>
          <w:bCs/>
        </w:rPr>
        <w:t>MI</w:t>
      </w:r>
      <w:r>
        <w:rPr>
          <w:bCs/>
        </w:rPr>
        <w:t xml:space="preserve"> (MI),</w:t>
      </w:r>
      <w:r w:rsidRPr="00DC4505">
        <w:rPr>
          <w:bCs/>
        </w:rPr>
        <w:t xml:space="preserve"> </w:t>
      </w:r>
      <w:r>
        <w:rPr>
          <w:bCs/>
        </w:rPr>
        <w:t xml:space="preserve">and Post Gel (G) or Control (C) </w:t>
      </w:r>
      <w:r w:rsidRPr="00DC4505">
        <w:rPr>
          <w:bCs/>
        </w:rPr>
        <w:t xml:space="preserve">in the Hydrogel </w:t>
      </w:r>
      <w:r>
        <w:rPr>
          <w:bCs/>
        </w:rPr>
        <w:t xml:space="preserve">and Control groups. </w:t>
      </w:r>
      <w:r w:rsidR="00681A8C">
        <w:rPr>
          <w:bCs/>
        </w:rPr>
        <w:t>Numerical changes and their statistical comparisons are shown in Supplemental Table S5.</w:t>
      </w:r>
    </w:p>
    <w:p w14:paraId="1B87D80C" w14:textId="45780685" w:rsidR="003B2153" w:rsidRDefault="003B2153" w:rsidP="003B2153">
      <w:pPr>
        <w:autoSpaceDE w:val="0"/>
        <w:autoSpaceDN w:val="0"/>
        <w:adjustRightInd w:val="0"/>
        <w:jc w:val="both"/>
        <w:rPr>
          <w:bCs/>
        </w:rPr>
      </w:pPr>
    </w:p>
    <w:p w14:paraId="289F0511" w14:textId="24E1A2BC" w:rsidR="003B2153" w:rsidRDefault="003B2153" w:rsidP="003B2153">
      <w:pPr>
        <w:autoSpaceDE w:val="0"/>
        <w:autoSpaceDN w:val="0"/>
        <w:adjustRightInd w:val="0"/>
        <w:jc w:val="both"/>
        <w:rPr>
          <w:bCs/>
        </w:rPr>
      </w:pPr>
    </w:p>
    <w:p w14:paraId="7F2CC7C8" w14:textId="77777777" w:rsidR="003B2153" w:rsidRPr="000F5346" w:rsidRDefault="003B2153" w:rsidP="003B2153">
      <w:pPr>
        <w:autoSpaceDE w:val="0"/>
        <w:autoSpaceDN w:val="0"/>
        <w:adjustRightInd w:val="0"/>
        <w:jc w:val="both"/>
        <w:rPr>
          <w:bCs/>
        </w:rPr>
      </w:pPr>
    </w:p>
    <w:p w14:paraId="4819C46E" w14:textId="2D88DEDB" w:rsidR="00251957" w:rsidRDefault="00251957" w:rsidP="00105AFE">
      <w:pPr>
        <w:autoSpaceDE w:val="0"/>
        <w:autoSpaceDN w:val="0"/>
        <w:adjustRightInd w:val="0"/>
        <w:jc w:val="both"/>
        <w:rPr>
          <w:bCs/>
        </w:rPr>
      </w:pPr>
    </w:p>
    <w:tbl>
      <w:tblPr>
        <w:tblW w:w="6611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973"/>
        <w:gridCol w:w="973"/>
        <w:gridCol w:w="973"/>
      </w:tblGrid>
      <w:tr w:rsidR="00B653BC" w:rsidRPr="0021059E" w14:paraId="3710BE09" w14:textId="77777777" w:rsidTr="00B653BC">
        <w:trPr>
          <w:trHeight w:val="35"/>
        </w:trPr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F919531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lastRenderedPageBreak/>
              <w:t>Hydrogel Group (N=8)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08D324BF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Change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56A89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Change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44D79F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Change</w:t>
            </w:r>
          </w:p>
        </w:tc>
      </w:tr>
      <w:tr w:rsidR="00B653BC" w:rsidRPr="0021059E" w14:paraId="01B89182" w14:textId="77777777" w:rsidTr="00B653BC">
        <w:trPr>
          <w:trHeight w:val="35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573FDB" w14:textId="26F942D4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 xml:space="preserve">LV 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Hemos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>, Pressure-Volume, Strain Changes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vAlign w:val="center"/>
          </w:tcPr>
          <w:p w14:paraId="2B98C9C1" w14:textId="2F8D5778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MI - BL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0B5AD" w14:textId="3EEB825E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G - BL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C6690B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G - MI</w:t>
            </w:r>
          </w:p>
        </w:tc>
      </w:tr>
      <w:tr w:rsidR="00B653BC" w:rsidRPr="0021059E" w14:paraId="1F3BFE2F" w14:textId="77777777" w:rsidTr="00B653BC">
        <w:trPr>
          <w:trHeight w:val="177"/>
        </w:trPr>
        <w:tc>
          <w:tcPr>
            <w:tcW w:w="3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0B2D8C8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Max Pressure, MP (mmHg)</w:t>
            </w:r>
          </w:p>
        </w:tc>
        <w:tc>
          <w:tcPr>
            <w:tcW w:w="9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09BD14" w14:textId="38387E46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-15.8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7A386" w14:textId="3EC38D9A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-20.0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9391DDF" w14:textId="3E383664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-4.2</w:t>
            </w:r>
            <w:r w:rsidRPr="0021059E">
              <w:rPr>
                <w:bCs/>
                <w:sz w:val="17"/>
                <w:szCs w:val="17"/>
                <w:vertAlign w:val="superscript"/>
              </w:rPr>
              <w:t>*</w:t>
            </w:r>
          </w:p>
        </w:tc>
      </w:tr>
      <w:tr w:rsidR="00B653BC" w:rsidRPr="0021059E" w14:paraId="4B00BF95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930273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End-Diastolic Pressure, EDP (mmHg)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53DFE58F" w14:textId="3BEB8DD6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+3.1</w:t>
            </w:r>
            <w:r w:rsidRPr="0021059E">
              <w:rPr>
                <w:bCs/>
                <w:sz w:val="17"/>
                <w:szCs w:val="17"/>
                <w:vertAlign w:val="superscript"/>
              </w:rPr>
              <w:t>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69004" w14:textId="4A8A9704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+2.1</w:t>
            </w:r>
            <w:r w:rsidRPr="0021059E">
              <w:rPr>
                <w:bCs/>
                <w:sz w:val="17"/>
                <w:szCs w:val="17"/>
                <w:vertAlign w:val="superscript"/>
              </w:rPr>
              <w:t>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7FC6F7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-1.0</w:t>
            </w:r>
          </w:p>
        </w:tc>
      </w:tr>
      <w:tr w:rsidR="00B653BC" w:rsidRPr="0021059E" w14:paraId="244AAE0A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6C28666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Heart Rate, HR (bpm)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07AA91EE" w14:textId="6A511A92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-25.2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D16C7" w14:textId="710D5142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-19.0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4F966D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+6.3</w:t>
            </w:r>
          </w:p>
        </w:tc>
      </w:tr>
      <w:tr w:rsidR="00B653BC" w:rsidRPr="0021059E" w14:paraId="660085D2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0037253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Isovolumetric contraction time, IVCT (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ms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>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0135EFA" w14:textId="480888D1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+19.3</w:t>
            </w:r>
            <w:r w:rsidRPr="0021059E">
              <w:rPr>
                <w:color w:val="000000"/>
                <w:kern w:val="24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F863E" w14:textId="1F05B24C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+8.4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3DE82A" w14:textId="151FB39E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-10.9</w:t>
            </w:r>
            <w:r w:rsidRPr="0021059E">
              <w:rPr>
                <w:bCs/>
                <w:sz w:val="17"/>
                <w:szCs w:val="17"/>
                <w:vertAlign w:val="superscript"/>
              </w:rPr>
              <w:t>*</w:t>
            </w:r>
          </w:p>
        </w:tc>
      </w:tr>
      <w:tr w:rsidR="00B653BC" w:rsidRPr="0021059E" w14:paraId="06CB1CA4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1ABF14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Ejection Time, ET (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ms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>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2B11FC58" w14:textId="0A758D8D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+39.4</w:t>
            </w:r>
            <w:r w:rsidRPr="0021059E">
              <w:rPr>
                <w:color w:val="000000"/>
                <w:kern w:val="24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A8073" w14:textId="5D89F9F5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+44.5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EEBCBA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+5.1</w:t>
            </w:r>
          </w:p>
        </w:tc>
      </w:tr>
      <w:tr w:rsidR="00B653BC" w:rsidRPr="0021059E" w14:paraId="61F738B6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91676BA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Isovolumetric relaxation time, IVRT (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ms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>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804D612" w14:textId="4EB83D99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+13.4</w:t>
            </w:r>
            <w:r w:rsidRPr="0021059E">
              <w:rPr>
                <w:color w:val="000000"/>
                <w:kern w:val="24"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558FE" w14:textId="717B5D08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-1.3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883C3B1" w14:textId="6C58A0D8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-14.7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</w:tr>
      <w:tr w:rsidR="00B653BC" w:rsidRPr="0021059E" w14:paraId="6B973919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4478F08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Filling Time, FT (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ms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>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2B87DE9E" w14:textId="64DA16CA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+151.9</w:t>
            </w:r>
            <w:r w:rsidRPr="0021059E">
              <w:rPr>
                <w:color w:val="000000"/>
                <w:kern w:val="24"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415B6" w14:textId="69ED137E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+107.8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71B770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-44.2</w:t>
            </w:r>
          </w:p>
        </w:tc>
      </w:tr>
      <w:tr w:rsidR="00B653BC" w:rsidRPr="0021059E" w14:paraId="0DD630BF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766633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proofErr w:type="spellStart"/>
            <w:r w:rsidRPr="0021059E">
              <w:rPr>
                <w:b/>
                <w:bCs/>
                <w:sz w:val="17"/>
                <w:szCs w:val="17"/>
              </w:rPr>
              <w:t>Tei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 xml:space="preserve"> Index, (IVCT+IVRT)/ET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5BF5D93E" w14:textId="5C449EF4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+0.04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C0102" w14:textId="0C71276D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-0.05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DF6944" w14:textId="1F1F607A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-0.08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</w:tr>
      <w:tr w:rsidR="00B653BC" w:rsidRPr="0021059E" w14:paraId="6992869D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18C28F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Systolic Demand, SPTI (mmHg-sec)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B514DF2" w14:textId="4D3233EE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-1.3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82EA8" w14:textId="1E6C33F4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-2.5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92BE13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-1.1</w:t>
            </w:r>
          </w:p>
        </w:tc>
      </w:tr>
      <w:tr w:rsidR="00B653BC" w:rsidRPr="0021059E" w14:paraId="6F171B6B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431937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Diastolic Supply, DPTI (mmHg-sec)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F05116F" w14:textId="7DF86A0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+1.8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ABD3F" w14:textId="755F99BE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-2.6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BADF58" w14:textId="5CE4F255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-4.5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</w:tr>
      <w:tr w:rsidR="00B653BC" w:rsidRPr="0021059E" w14:paraId="12DD81F0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483B9CD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Supply/Demand, S/D Ratio, DPTI/SPTI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0DC8AD9D" w14:textId="4763FE09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+0.12</w:t>
            </w:r>
            <w:r w:rsidRPr="0021059E">
              <w:rPr>
                <w:color w:val="000000"/>
                <w:kern w:val="24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9177B" w14:textId="09D34968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-0.03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C6B368" w14:textId="6EEC56B6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-0.15</w:t>
            </w:r>
            <w:r w:rsidRPr="0021059E">
              <w:rPr>
                <w:bCs/>
                <w:sz w:val="17"/>
                <w:szCs w:val="17"/>
                <w:vertAlign w:val="superscript"/>
              </w:rPr>
              <w:t>*</w:t>
            </w:r>
          </w:p>
        </w:tc>
      </w:tr>
      <w:tr w:rsidR="00B653BC" w:rsidRPr="0021059E" w14:paraId="07C35EFC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6CE8FE7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End Diastolic Volume, EDV (mL)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4A74F8D6" w14:textId="281B0E65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-8.0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B11E5" w14:textId="1DA6FA6B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-10.2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6A441B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-2.2</w:t>
            </w:r>
          </w:p>
        </w:tc>
      </w:tr>
      <w:tr w:rsidR="00B653BC" w:rsidRPr="0021059E" w14:paraId="318906B3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1F8C3D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Stroke Volume, SV (mL)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1D61F543" w14:textId="70557CBB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-11.1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ACAA7" w14:textId="378A4428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-11.2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0D552B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-0.1</w:t>
            </w:r>
          </w:p>
        </w:tc>
      </w:tr>
      <w:tr w:rsidR="00B653BC" w:rsidRPr="0021059E" w14:paraId="2D80A1D1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D2BDB8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Ejection Fraction, EF (%)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BAF081E" w14:textId="446DA98E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-0.08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74FF3" w14:textId="21AA19B6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-0.07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22EA3B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+0.01</w:t>
            </w:r>
          </w:p>
        </w:tc>
      </w:tr>
      <w:tr w:rsidR="00B653BC" w:rsidRPr="0021059E" w14:paraId="7E6C421D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CC943C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P-V Loop Area, PVA (mL-mmHg)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548D1910" w14:textId="7BB6EBEF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-1509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76C8E" w14:textId="6A4F1FBB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-1441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BDC5315" w14:textId="77777777" w:rsidR="00B653BC" w:rsidRPr="0021059E" w:rsidRDefault="00B653BC" w:rsidP="00CC0EA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+68</w:t>
            </w:r>
          </w:p>
        </w:tc>
      </w:tr>
      <w:tr w:rsidR="00B653BC" w:rsidRPr="0021059E" w14:paraId="41638528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2911093" w14:textId="33DC92BD" w:rsidR="00B653BC" w:rsidRPr="0021059E" w:rsidRDefault="00B653BC" w:rsidP="006C428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rr </w:t>
            </w:r>
            <w:r w:rsidRPr="0021059E">
              <w:rPr>
                <w:b/>
                <w:bCs/>
                <w:sz w:val="17"/>
                <w:szCs w:val="17"/>
              </w:rPr>
              <w:t>Average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4CB8B8EB" w14:textId="69A7C796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-0.9%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9ADAE6" w14:textId="64A0B31C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-1.9%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00CC86FF" w14:textId="04042F6A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-1.0%</w:t>
            </w:r>
          </w:p>
        </w:tc>
      </w:tr>
      <w:tr w:rsidR="00B653BC" w:rsidRPr="0021059E" w14:paraId="173C7DC1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6FD44374" w14:textId="0BFDAEBA" w:rsidR="00B653BC" w:rsidRPr="0021059E" w:rsidRDefault="00B653BC" w:rsidP="006C428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proofErr w:type="spellStart"/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>cc</w:t>
            </w:r>
            <w:proofErr w:type="spellEnd"/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 </w:t>
            </w:r>
            <w:r w:rsidRPr="0021059E">
              <w:rPr>
                <w:b/>
                <w:bCs/>
                <w:sz w:val="17"/>
                <w:szCs w:val="17"/>
              </w:rPr>
              <w:t>Average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76B2A371" w14:textId="2F9B9AC0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+0.5%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517CB" w14:textId="7F8C75C9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+0.0%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15DE9666" w14:textId="4A8FAF82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-0.5%</w:t>
            </w:r>
          </w:p>
        </w:tc>
      </w:tr>
      <w:tr w:rsidR="00B653BC" w:rsidRPr="0021059E" w14:paraId="02990A1D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97385E9" w14:textId="45AA987F" w:rsidR="00B653BC" w:rsidRPr="0021059E" w:rsidRDefault="00B653BC" w:rsidP="006C428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proofErr w:type="spellStart"/>
            <w:proofErr w:type="gramStart"/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perscript"/>
              </w:rPr>
              <w:t>N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>rr</w:t>
            </w:r>
            <w:proofErr w:type="spellEnd"/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 </w:t>
            </w:r>
            <w:r w:rsidRPr="0021059E">
              <w:rPr>
                <w:b/>
                <w:bCs/>
                <w:sz w:val="17"/>
                <w:szCs w:val="17"/>
              </w:rPr>
              <w:t xml:space="preserve"> Infarct</w:t>
            </w:r>
            <w:proofErr w:type="gramEnd"/>
            <w:r w:rsidRPr="0021059E">
              <w:rPr>
                <w:b/>
                <w:bCs/>
                <w:sz w:val="17"/>
                <w:szCs w:val="17"/>
              </w:rPr>
              <w:t xml:space="preserve"> Region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41F1CDAB" w14:textId="1B661716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-0.68</w:t>
            </w:r>
            <w:r w:rsidRPr="0021059E">
              <w:rPr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6BF043" w14:textId="7189B031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-0.20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6BED1DB1" w14:textId="56317F25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+0.47</w:t>
            </w:r>
            <w:r w:rsidRPr="0021059E">
              <w:rPr>
                <w:sz w:val="17"/>
                <w:szCs w:val="17"/>
                <w:vertAlign w:val="superscript"/>
              </w:rPr>
              <w:t>**</w:t>
            </w:r>
          </w:p>
        </w:tc>
      </w:tr>
      <w:tr w:rsidR="00B653BC" w:rsidRPr="0021059E" w14:paraId="18CA61E9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277C1E1" w14:textId="79363FFA" w:rsidR="00B653BC" w:rsidRPr="0021059E" w:rsidRDefault="00B653BC" w:rsidP="006C428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proofErr w:type="spellStart"/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perscript"/>
              </w:rPr>
              <w:t>N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>cc</w:t>
            </w:r>
            <w:proofErr w:type="spellEnd"/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 </w:t>
            </w:r>
            <w:r w:rsidRPr="0021059E">
              <w:rPr>
                <w:b/>
                <w:bCs/>
                <w:sz w:val="17"/>
                <w:szCs w:val="17"/>
              </w:rPr>
              <w:t>Infarct Region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7BCCA44E" w14:textId="1E488B97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-0.37</w:t>
            </w:r>
            <w:r w:rsidRPr="0021059E">
              <w:rPr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851A6" w14:textId="75DC2DED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-0.03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43F13D53" w14:textId="43E7873B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+0.33</w:t>
            </w:r>
            <w:r w:rsidRPr="0021059E">
              <w:rPr>
                <w:sz w:val="17"/>
                <w:szCs w:val="17"/>
                <w:vertAlign w:val="superscript"/>
              </w:rPr>
              <w:t>**</w:t>
            </w:r>
          </w:p>
        </w:tc>
      </w:tr>
      <w:tr w:rsidR="00B653BC" w:rsidRPr="0021059E" w14:paraId="675CFFB9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C817FD6" w14:textId="6BD3164F" w:rsidR="00B653BC" w:rsidRPr="0021059E" w:rsidRDefault="00B653BC" w:rsidP="006C428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proofErr w:type="spellStart"/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perscript"/>
              </w:rPr>
              <w:t>N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>rr</w:t>
            </w:r>
            <w:proofErr w:type="spellEnd"/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 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NonInfarcted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 xml:space="preserve"> Regions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5FF4BC43" w14:textId="4A25D8A3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+0.08</w:t>
            </w:r>
            <w:r w:rsidRPr="0021059E">
              <w:rPr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E72E4E" w14:textId="581A2331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+0.00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21E8499E" w14:textId="7DC4EC15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-0.08</w:t>
            </w:r>
          </w:p>
        </w:tc>
      </w:tr>
      <w:tr w:rsidR="00B653BC" w:rsidRPr="0021059E" w14:paraId="3C1291B0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19B10E4" w14:textId="52A05469" w:rsidR="00B653BC" w:rsidRPr="0021059E" w:rsidRDefault="00B653BC" w:rsidP="006C428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proofErr w:type="spellStart"/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perscript"/>
              </w:rPr>
              <w:t>N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>cc</w:t>
            </w:r>
            <w:proofErr w:type="spellEnd"/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 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NonInfarcted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 xml:space="preserve"> Regions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3090F641" w14:textId="097DBF01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+0.06</w:t>
            </w:r>
            <w:r w:rsidRPr="0021059E">
              <w:rPr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43F394" w14:textId="0C33509D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+0.00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7DE4580B" w14:textId="27A85022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-0.06</w:t>
            </w:r>
          </w:p>
        </w:tc>
      </w:tr>
      <w:tr w:rsidR="00B653BC" w:rsidRPr="0021059E" w14:paraId="56FC41A8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59C764E7" w14:textId="45D346C4" w:rsidR="00B653BC" w:rsidRPr="0021059E" w:rsidRDefault="00B653BC" w:rsidP="006C428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ED Thickness, Infarct Region (mm)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59843455" w14:textId="5D973E5B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+0.60</w:t>
            </w:r>
            <w:r w:rsidRPr="0021059E">
              <w:rPr>
                <w:sz w:val="17"/>
                <w:szCs w:val="17"/>
                <w:vertAlign w:val="superscript"/>
              </w:rPr>
              <w:t>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D87E9D" w14:textId="5EF7BF72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+1.43</w:t>
            </w:r>
            <w:r w:rsidRPr="0021059E">
              <w:rPr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6F7E2FCA" w14:textId="64E97C76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+0.83</w:t>
            </w:r>
            <w:r w:rsidRPr="0021059E">
              <w:rPr>
                <w:sz w:val="17"/>
                <w:szCs w:val="17"/>
                <w:vertAlign w:val="superscript"/>
              </w:rPr>
              <w:t>***</w:t>
            </w:r>
          </w:p>
        </w:tc>
      </w:tr>
      <w:tr w:rsidR="00B653BC" w:rsidRPr="0021059E" w14:paraId="6631DCBB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69F82289" w14:textId="5D8B7C50" w:rsidR="00B653BC" w:rsidRPr="0021059E" w:rsidRDefault="00B653BC" w:rsidP="006C428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ED Thick</w:t>
            </w:r>
            <w:r>
              <w:rPr>
                <w:b/>
                <w:bCs/>
                <w:sz w:val="17"/>
                <w:szCs w:val="17"/>
              </w:rPr>
              <w:t>ne</w:t>
            </w:r>
            <w:r w:rsidRPr="0021059E">
              <w:rPr>
                <w:b/>
                <w:bCs/>
                <w:sz w:val="17"/>
                <w:szCs w:val="17"/>
              </w:rPr>
              <w:t xml:space="preserve">ss, 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NonInfarcted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 xml:space="preserve"> Region (mm)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2FA8098D" w14:textId="50E9CA54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+0.36</w:t>
            </w:r>
            <w:r w:rsidRPr="0021059E">
              <w:rPr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832263" w14:textId="295ADE51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+0.56</w:t>
            </w:r>
            <w:r w:rsidRPr="0021059E">
              <w:rPr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DCB2AB3" w14:textId="084DDCB2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+0.20</w:t>
            </w:r>
          </w:p>
        </w:tc>
      </w:tr>
      <w:tr w:rsidR="00B653BC" w:rsidRPr="0021059E" w14:paraId="3D10EB36" w14:textId="77777777" w:rsidTr="00B653BC">
        <w:trPr>
          <w:trHeight w:val="177"/>
        </w:trPr>
        <w:tc>
          <w:tcPr>
            <w:tcW w:w="36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60802D9F" w14:textId="5C420B7E" w:rsidR="00B653BC" w:rsidRPr="0021059E" w:rsidRDefault="00B653BC" w:rsidP="006C428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ED Thickness, Average (mm)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45929" w14:textId="47F8B47A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+0.39</w:t>
            </w:r>
            <w:r w:rsidRPr="0021059E">
              <w:rPr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D645F" w14:textId="19E0838C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+0.69</w:t>
            </w:r>
            <w:r w:rsidRPr="0021059E">
              <w:rPr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0F04843" w14:textId="243BC5A4" w:rsidR="00B653BC" w:rsidRPr="0021059E" w:rsidRDefault="00B653BC" w:rsidP="006C428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+0.30</w:t>
            </w:r>
            <w:r w:rsidRPr="0021059E">
              <w:rPr>
                <w:sz w:val="17"/>
                <w:szCs w:val="17"/>
                <w:vertAlign w:val="superscript"/>
              </w:rPr>
              <w:t>**</w:t>
            </w:r>
          </w:p>
        </w:tc>
      </w:tr>
      <w:tr w:rsidR="00B653BC" w:rsidRPr="0021059E" w14:paraId="0E4CAB6F" w14:textId="77777777" w:rsidTr="00B653BC">
        <w:trPr>
          <w:trHeight w:val="45"/>
        </w:trPr>
        <w:tc>
          <w:tcPr>
            <w:tcW w:w="3692" w:type="dxa"/>
            <w:tcBorders>
              <w:top w:val="single" w:sz="4" w:space="0" w:color="auto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314B8C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Control Group (N=5)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0D458131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Change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9E02F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Change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49A4B6E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Change</w:t>
            </w:r>
          </w:p>
        </w:tc>
      </w:tr>
      <w:tr w:rsidR="00B653BC" w:rsidRPr="0021059E" w14:paraId="11E7F9B8" w14:textId="77777777" w:rsidTr="00B653BC">
        <w:trPr>
          <w:trHeight w:val="35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596717" w14:textId="2CAA31E2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 xml:space="preserve">LV 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Hemos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>, Pressure-Volume, Strain Changes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</w:tcPr>
          <w:p w14:paraId="7021A412" w14:textId="6402917E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MI - BL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0482A" w14:textId="53F747BD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C - BL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FD5664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C - MI</w:t>
            </w:r>
          </w:p>
        </w:tc>
      </w:tr>
      <w:tr w:rsidR="00B653BC" w:rsidRPr="0021059E" w14:paraId="35FD45D9" w14:textId="77777777" w:rsidTr="00B653BC">
        <w:trPr>
          <w:trHeight w:val="177"/>
        </w:trPr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63D4F3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Max Pressure, MP (mmHg)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51683627" w14:textId="4A419DB1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-22.5</w:t>
            </w:r>
            <w:r w:rsidRPr="0021059E">
              <w:rPr>
                <w:bCs/>
                <w:sz w:val="17"/>
                <w:szCs w:val="17"/>
                <w:vertAlign w:val="superscript"/>
              </w:rPr>
              <w:t>*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24991" w14:textId="2673D894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-20.8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AFCF985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+1.6</w:t>
            </w:r>
          </w:p>
        </w:tc>
      </w:tr>
      <w:tr w:rsidR="00B653BC" w:rsidRPr="0021059E" w14:paraId="007AB30F" w14:textId="77777777" w:rsidTr="00B653BC">
        <w:trPr>
          <w:trHeight w:val="198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6D6A33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End-Diastolic Pressure, EDP (mmHg)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70225D10" w14:textId="2E813789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-1.1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9178F" w14:textId="5198A108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-0.2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E9C6C2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+1.0</w:t>
            </w:r>
          </w:p>
        </w:tc>
      </w:tr>
      <w:tr w:rsidR="00B653BC" w:rsidRPr="0021059E" w14:paraId="14BFB2AE" w14:textId="77777777" w:rsidTr="00B653BC">
        <w:trPr>
          <w:trHeight w:val="177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33EADD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Heart Rate, HR (bpm)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482AF0F8" w14:textId="28B889CD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-11.6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B4864" w14:textId="0DB542FC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-9.6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C4E630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+2.0</w:t>
            </w:r>
          </w:p>
        </w:tc>
      </w:tr>
      <w:tr w:rsidR="00B653BC" w:rsidRPr="0021059E" w14:paraId="7AAAF0D9" w14:textId="77777777" w:rsidTr="00B653BC">
        <w:trPr>
          <w:trHeight w:val="198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9367EA0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Isovolumetric contraction time, IVCT (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ms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>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72C379F1" w14:textId="1E1F590E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+14.6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9FFF2" w14:textId="30547821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+14.5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64CC83E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-0.1</w:t>
            </w:r>
          </w:p>
        </w:tc>
      </w:tr>
      <w:tr w:rsidR="00B653BC" w:rsidRPr="0021059E" w14:paraId="030D80CB" w14:textId="77777777" w:rsidTr="00B653BC">
        <w:trPr>
          <w:trHeight w:val="177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E6BEA1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Ejection Time, ET (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ms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>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3BE5684E" w14:textId="05FDDBDF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+0.4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F40A4" w14:textId="67D347D6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-1.8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BFB849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-2.2</w:t>
            </w:r>
          </w:p>
        </w:tc>
      </w:tr>
      <w:tr w:rsidR="00B653BC" w:rsidRPr="0021059E" w14:paraId="22E8D337" w14:textId="77777777" w:rsidTr="00B653BC">
        <w:trPr>
          <w:trHeight w:val="188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12AF08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Isovolumetric relaxation time, IVRT (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ms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>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509C8BAF" w14:textId="149923AD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-3.9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79723" w14:textId="2F828955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-1.5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5DD608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+2.4</w:t>
            </w:r>
          </w:p>
        </w:tc>
      </w:tr>
      <w:tr w:rsidR="00B653BC" w:rsidRPr="0021059E" w14:paraId="5EA409DE" w14:textId="77777777" w:rsidTr="00B653BC">
        <w:trPr>
          <w:trHeight w:val="177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FBA472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Filling Time, FT (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ms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>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26051463" w14:textId="4C83A65B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+80.5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BDDB4" w14:textId="295940B8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+61.5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A4FDA9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-19.0</w:t>
            </w:r>
          </w:p>
        </w:tc>
      </w:tr>
      <w:tr w:rsidR="00B653BC" w:rsidRPr="0021059E" w14:paraId="3DA7BF96" w14:textId="77777777" w:rsidTr="00B653BC">
        <w:trPr>
          <w:trHeight w:val="177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61B82CE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proofErr w:type="spellStart"/>
            <w:r w:rsidRPr="0021059E">
              <w:rPr>
                <w:b/>
                <w:bCs/>
                <w:sz w:val="17"/>
                <w:szCs w:val="17"/>
              </w:rPr>
              <w:t>Tei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 xml:space="preserve"> Index, (IVCT+IVRT)/ET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1C746039" w14:textId="306C6F85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+0.04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C1AE3" w14:textId="67522CC3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+0.05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C0486F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+0.02</w:t>
            </w:r>
          </w:p>
        </w:tc>
      </w:tr>
      <w:tr w:rsidR="00B653BC" w:rsidRPr="0021059E" w14:paraId="3F8A6537" w14:textId="77777777" w:rsidTr="00B653BC">
        <w:trPr>
          <w:trHeight w:val="177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6DC1AB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Systolic Demand, SPTI (mmHg-sec)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306D2ED4" w14:textId="52C91994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-5.9</w:t>
            </w:r>
            <w:r w:rsidRPr="0021059E">
              <w:rPr>
                <w:color w:val="000000"/>
                <w:kern w:val="24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A3B3A" w14:textId="74EF4F5E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-5.6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8AF1377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+0.3</w:t>
            </w:r>
          </w:p>
        </w:tc>
      </w:tr>
      <w:tr w:rsidR="00B653BC" w:rsidRPr="0021059E" w14:paraId="70C1C0B6" w14:textId="77777777" w:rsidTr="00B653BC">
        <w:trPr>
          <w:trHeight w:val="177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59D688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Diastolic Supply, DPTI (mmHg-sec)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5853BE12" w14:textId="09605C1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 w:rsidRPr="0021059E">
              <w:rPr>
                <w:color w:val="000000"/>
                <w:kern w:val="24"/>
                <w:sz w:val="17"/>
                <w:szCs w:val="17"/>
              </w:rPr>
              <w:t>-3.1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FA0FE" w14:textId="3109C6C0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-3.2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FBFEBB1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-0.1</w:t>
            </w:r>
          </w:p>
        </w:tc>
      </w:tr>
      <w:tr w:rsidR="00B653BC" w:rsidRPr="0021059E" w14:paraId="0D7D0F88" w14:textId="77777777" w:rsidTr="00B653BC">
        <w:trPr>
          <w:trHeight w:val="177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0AF709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Supply/Demand, S/D Ratio, DPTI/SPTI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2A8069A7" w14:textId="09A19DAD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24"/>
                <w:sz w:val="17"/>
                <w:szCs w:val="17"/>
              </w:rPr>
            </w:pPr>
            <w:r>
              <w:rPr>
                <w:color w:val="000000"/>
                <w:kern w:val="24"/>
                <w:sz w:val="17"/>
                <w:szCs w:val="17"/>
              </w:rPr>
              <w:t>+</w:t>
            </w:r>
            <w:r w:rsidRPr="0021059E">
              <w:rPr>
                <w:color w:val="000000"/>
                <w:kern w:val="24"/>
                <w:sz w:val="17"/>
                <w:szCs w:val="17"/>
              </w:rPr>
              <w:t>0.05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1F3FA" w14:textId="5AAB48C5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+0.04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D97C2A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-0.02</w:t>
            </w:r>
          </w:p>
        </w:tc>
      </w:tr>
      <w:tr w:rsidR="00B653BC" w:rsidRPr="0021059E" w14:paraId="33D51514" w14:textId="77777777" w:rsidTr="00B653BC">
        <w:trPr>
          <w:trHeight w:val="177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C997B2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End Diastolic Volume, EDV (mL)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49730DA6" w14:textId="0329D6CB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-13.9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F6B80" w14:textId="0515F05E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-23.7</w:t>
            </w:r>
            <w:r w:rsidRPr="0021059E">
              <w:rPr>
                <w:bCs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2BF14E" w14:textId="218D52D4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-9.8</w:t>
            </w:r>
            <w:r w:rsidRPr="0021059E">
              <w:rPr>
                <w:bCs/>
                <w:sz w:val="17"/>
                <w:szCs w:val="17"/>
                <w:vertAlign w:val="superscript"/>
              </w:rPr>
              <w:t>*</w:t>
            </w:r>
          </w:p>
        </w:tc>
      </w:tr>
      <w:tr w:rsidR="00B653BC" w:rsidRPr="0021059E" w14:paraId="0826A6FF" w14:textId="77777777" w:rsidTr="00B653BC">
        <w:trPr>
          <w:trHeight w:val="177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966EA5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Stroke Volume, SV (mL)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725B0D3F" w14:textId="6AEA17A2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-11.0</w:t>
            </w:r>
            <w:r w:rsidRPr="0021059E">
              <w:rPr>
                <w:bCs/>
                <w:sz w:val="17"/>
                <w:szCs w:val="17"/>
                <w:vertAlign w:val="superscript"/>
              </w:rPr>
              <w:t>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82D63" w14:textId="156DECA2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-23.2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920069" w14:textId="2419EAF0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-12.2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</w:tr>
      <w:tr w:rsidR="00B653BC" w:rsidRPr="0021059E" w14:paraId="174D2906" w14:textId="77777777" w:rsidTr="00B653BC">
        <w:trPr>
          <w:trHeight w:val="69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E13903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Ejection Fraction, EF (%)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4C731515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-0.05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C959A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-0.16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6042004" w14:textId="2C9AA919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-0.11</w:t>
            </w:r>
            <w:r w:rsidRPr="0021059E">
              <w:rPr>
                <w:bCs/>
                <w:sz w:val="17"/>
                <w:szCs w:val="17"/>
                <w:vertAlign w:val="superscript"/>
              </w:rPr>
              <w:t>*</w:t>
            </w:r>
          </w:p>
        </w:tc>
      </w:tr>
      <w:tr w:rsidR="00B653BC" w:rsidRPr="0021059E" w14:paraId="321F05DB" w14:textId="77777777" w:rsidTr="00B653BC">
        <w:trPr>
          <w:trHeight w:val="182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62B907E" w14:textId="77777777" w:rsidR="00B653BC" w:rsidRPr="0021059E" w:rsidRDefault="00B653BC" w:rsidP="009056D3">
            <w:pPr>
              <w:autoSpaceDE w:val="0"/>
              <w:autoSpaceDN w:val="0"/>
              <w:adjustRightInd w:val="0"/>
              <w:jc w:val="both"/>
              <w:rPr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P-V Loop Area, PVA (mL-mmHg)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378D8B6A" w14:textId="162B3785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-1558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A2CE3" w14:textId="44721968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-2043</w:t>
            </w:r>
            <w:r w:rsidRPr="0021059E">
              <w:rPr>
                <w:bCs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08CFF8" w14:textId="4455FC33" w:rsidR="00B653BC" w:rsidRPr="0021059E" w:rsidRDefault="00B653BC" w:rsidP="009056D3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bCs/>
                <w:sz w:val="17"/>
                <w:szCs w:val="17"/>
              </w:rPr>
              <w:t>-504</w:t>
            </w:r>
            <w:r w:rsidRPr="0021059E">
              <w:rPr>
                <w:bCs/>
                <w:sz w:val="17"/>
                <w:szCs w:val="17"/>
                <w:vertAlign w:val="superscript"/>
              </w:rPr>
              <w:t>*</w:t>
            </w:r>
          </w:p>
        </w:tc>
      </w:tr>
      <w:tr w:rsidR="00B653BC" w:rsidRPr="0021059E" w14:paraId="79ABE4D7" w14:textId="77777777" w:rsidTr="00B653BC">
        <w:trPr>
          <w:trHeight w:val="182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004CF137" w14:textId="45CB38FF" w:rsidR="00B653BC" w:rsidRPr="0021059E" w:rsidRDefault="00B653BC" w:rsidP="00C94C3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rr </w:t>
            </w:r>
            <w:r w:rsidRPr="0021059E">
              <w:rPr>
                <w:b/>
                <w:bCs/>
                <w:sz w:val="17"/>
                <w:szCs w:val="17"/>
              </w:rPr>
              <w:t>Average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</w:tcPr>
          <w:p w14:paraId="64831AF2" w14:textId="3B17EA75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-2.8%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ADA6C2" w14:textId="53A54EDA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-4.7%</w:t>
            </w:r>
            <w:r w:rsidRPr="0021059E">
              <w:rPr>
                <w:color w:val="000000" w:themeColor="dark1"/>
                <w:kern w:val="24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64E32915" w14:textId="6D6691B9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-1.8%</w:t>
            </w:r>
          </w:p>
        </w:tc>
      </w:tr>
      <w:tr w:rsidR="00B653BC" w:rsidRPr="0021059E" w14:paraId="010A30A6" w14:textId="77777777" w:rsidTr="00B653BC">
        <w:trPr>
          <w:trHeight w:val="182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779E7B91" w14:textId="2FB34DD2" w:rsidR="00B653BC" w:rsidRPr="0021059E" w:rsidRDefault="00B653BC" w:rsidP="00C94C3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proofErr w:type="spellStart"/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>cc</w:t>
            </w:r>
            <w:proofErr w:type="spellEnd"/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 </w:t>
            </w:r>
            <w:r w:rsidRPr="0021059E">
              <w:rPr>
                <w:b/>
                <w:bCs/>
                <w:sz w:val="17"/>
                <w:szCs w:val="17"/>
              </w:rPr>
              <w:t>Average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</w:tcPr>
          <w:p w14:paraId="4E9D3A62" w14:textId="4EC8005C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+0.8%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D59D78" w14:textId="6DA7545C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+0.5%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1E06AC3C" w14:textId="3866041D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-0.3%</w:t>
            </w:r>
          </w:p>
        </w:tc>
      </w:tr>
      <w:tr w:rsidR="00B653BC" w:rsidRPr="0021059E" w14:paraId="2B7449F4" w14:textId="77777777" w:rsidTr="00B653BC">
        <w:trPr>
          <w:trHeight w:val="182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17DA080" w14:textId="508B759D" w:rsidR="00B653BC" w:rsidRPr="0021059E" w:rsidRDefault="00B653BC" w:rsidP="00C94C3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proofErr w:type="spellStart"/>
            <w:proofErr w:type="gramStart"/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perscript"/>
              </w:rPr>
              <w:t>N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>rr</w:t>
            </w:r>
            <w:proofErr w:type="spellEnd"/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 </w:t>
            </w:r>
            <w:r w:rsidRPr="0021059E">
              <w:rPr>
                <w:b/>
                <w:bCs/>
                <w:sz w:val="17"/>
                <w:szCs w:val="17"/>
              </w:rPr>
              <w:t xml:space="preserve"> Infarct</w:t>
            </w:r>
            <w:proofErr w:type="gramEnd"/>
            <w:r w:rsidRPr="0021059E">
              <w:rPr>
                <w:b/>
                <w:bCs/>
                <w:sz w:val="17"/>
                <w:szCs w:val="17"/>
              </w:rPr>
              <w:t xml:space="preserve"> Region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</w:tcPr>
          <w:p w14:paraId="1EEC4318" w14:textId="04D2B0A7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-0.43</w:t>
            </w:r>
            <w:r w:rsidRPr="0021059E">
              <w:rPr>
                <w:color w:val="000000" w:themeColor="dark1"/>
                <w:kern w:val="24"/>
                <w:sz w:val="17"/>
                <w:szCs w:val="17"/>
                <w:vertAlign w:val="superscript"/>
              </w:rPr>
              <w:t>***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D6B314" w14:textId="751D40E7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-0.52</w:t>
            </w:r>
            <w:r w:rsidRPr="0021059E">
              <w:rPr>
                <w:color w:val="000000" w:themeColor="dark1"/>
                <w:kern w:val="24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0FA0EB6C" w14:textId="6CDEA185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-0.09</w:t>
            </w:r>
          </w:p>
        </w:tc>
      </w:tr>
      <w:tr w:rsidR="00B653BC" w:rsidRPr="0021059E" w14:paraId="49BB0D20" w14:textId="77777777" w:rsidTr="00B653BC">
        <w:trPr>
          <w:trHeight w:val="182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6E09E402" w14:textId="5D510B5A" w:rsidR="00B653BC" w:rsidRPr="0021059E" w:rsidRDefault="00B653BC" w:rsidP="00C94C3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proofErr w:type="spellStart"/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perscript"/>
              </w:rPr>
              <w:t>N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>cc</w:t>
            </w:r>
            <w:proofErr w:type="spellEnd"/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 </w:t>
            </w:r>
            <w:r w:rsidRPr="0021059E">
              <w:rPr>
                <w:b/>
                <w:bCs/>
                <w:sz w:val="17"/>
                <w:szCs w:val="17"/>
              </w:rPr>
              <w:t>Infarct Region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</w:tcPr>
          <w:p w14:paraId="33CD4598" w14:textId="0A4D4FAE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-0.33</w:t>
            </w:r>
            <w:r w:rsidRPr="0021059E">
              <w:rPr>
                <w:color w:val="000000" w:themeColor="dark1"/>
                <w:kern w:val="24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F3A099" w14:textId="7919A9D2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-0.55</w:t>
            </w:r>
            <w:r w:rsidRPr="0021059E">
              <w:rPr>
                <w:color w:val="000000" w:themeColor="dark1"/>
                <w:kern w:val="24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7164F940" w14:textId="45280956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-0.23</w:t>
            </w:r>
            <w:r w:rsidRPr="0021059E">
              <w:rPr>
                <w:color w:val="000000" w:themeColor="dark1"/>
                <w:kern w:val="24"/>
                <w:sz w:val="17"/>
                <w:szCs w:val="17"/>
                <w:vertAlign w:val="superscript"/>
              </w:rPr>
              <w:t>*</w:t>
            </w:r>
          </w:p>
        </w:tc>
      </w:tr>
      <w:tr w:rsidR="00B653BC" w:rsidRPr="0021059E" w14:paraId="4C22323F" w14:textId="77777777" w:rsidTr="00B653BC">
        <w:trPr>
          <w:trHeight w:val="182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534410B" w14:textId="2FD1C56B" w:rsidR="00B653BC" w:rsidRPr="0021059E" w:rsidRDefault="00B653BC" w:rsidP="00C94C3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proofErr w:type="spellStart"/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perscript"/>
              </w:rPr>
              <w:t>N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>rr</w:t>
            </w:r>
            <w:proofErr w:type="spellEnd"/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 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NonInfarcted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 xml:space="preserve"> Regions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</w:tcPr>
          <w:p w14:paraId="4910D752" w14:textId="48E230C4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+0.06</w:t>
            </w:r>
            <w:r w:rsidRPr="0021059E">
              <w:rPr>
                <w:color w:val="000000" w:themeColor="dark1"/>
                <w:kern w:val="24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2133B1" w14:textId="67A05867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+0.07</w:t>
            </w:r>
            <w:r w:rsidRPr="0021059E">
              <w:rPr>
                <w:sz w:val="17"/>
                <w:szCs w:val="17"/>
                <w:vertAlign w:val="superscript"/>
              </w:rPr>
              <w:t>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62C8CB0A" w14:textId="35FC8330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+0.01</w:t>
            </w:r>
          </w:p>
        </w:tc>
      </w:tr>
      <w:tr w:rsidR="00B653BC" w:rsidRPr="0021059E" w14:paraId="6A94CCB8" w14:textId="77777777" w:rsidTr="00B653BC">
        <w:trPr>
          <w:trHeight w:val="182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55C8F132" w14:textId="2306626A" w:rsidR="00B653BC" w:rsidRPr="0021059E" w:rsidRDefault="00B653BC" w:rsidP="00C94C3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proofErr w:type="spellStart"/>
            <w:r w:rsidRPr="0021059E">
              <w:rPr>
                <w:b/>
                <w:bCs/>
                <w:sz w:val="17"/>
                <w:szCs w:val="17"/>
              </w:rPr>
              <w:t>E</w:t>
            </w:r>
            <w:r w:rsidRPr="0021059E">
              <w:rPr>
                <w:b/>
                <w:bCs/>
                <w:sz w:val="17"/>
                <w:szCs w:val="17"/>
                <w:vertAlign w:val="superscript"/>
              </w:rPr>
              <w:t>N</w:t>
            </w:r>
            <w:r w:rsidRPr="0021059E">
              <w:rPr>
                <w:b/>
                <w:bCs/>
                <w:sz w:val="17"/>
                <w:szCs w:val="17"/>
                <w:vertAlign w:val="subscript"/>
              </w:rPr>
              <w:t>cc</w:t>
            </w:r>
            <w:proofErr w:type="spellEnd"/>
            <w:r w:rsidRPr="0021059E">
              <w:rPr>
                <w:b/>
                <w:bCs/>
                <w:sz w:val="17"/>
                <w:szCs w:val="17"/>
                <w:vertAlign w:val="subscript"/>
              </w:rPr>
              <w:t xml:space="preserve"> 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NonInfarcted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 xml:space="preserve"> Regions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</w:tcPr>
          <w:p w14:paraId="7A080AF9" w14:textId="18473A73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+0.04</w:t>
            </w:r>
            <w:r w:rsidRPr="0021059E">
              <w:rPr>
                <w:color w:val="000000" w:themeColor="dark1"/>
                <w:kern w:val="24"/>
                <w:sz w:val="17"/>
                <w:szCs w:val="17"/>
                <w:vertAlign w:val="superscript"/>
              </w:rPr>
              <w:t>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99E34D" w14:textId="5FE54058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+0.08</w:t>
            </w:r>
            <w:r w:rsidRPr="0021059E">
              <w:rPr>
                <w:color w:val="000000" w:themeColor="dark1"/>
                <w:kern w:val="24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27B1C9BB" w14:textId="0C9E47E2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color w:val="000000" w:themeColor="dark1"/>
                <w:kern w:val="24"/>
                <w:sz w:val="17"/>
                <w:szCs w:val="17"/>
              </w:rPr>
              <w:t>+0.03</w:t>
            </w:r>
            <w:r w:rsidRPr="0021059E">
              <w:rPr>
                <w:color w:val="000000" w:themeColor="dark1"/>
                <w:kern w:val="24"/>
                <w:sz w:val="17"/>
                <w:szCs w:val="17"/>
                <w:vertAlign w:val="superscript"/>
              </w:rPr>
              <w:t>*</w:t>
            </w:r>
          </w:p>
        </w:tc>
      </w:tr>
      <w:tr w:rsidR="00B653BC" w:rsidRPr="0021059E" w14:paraId="1FB07F70" w14:textId="77777777" w:rsidTr="00B653BC">
        <w:trPr>
          <w:trHeight w:val="182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5C1D0DBE" w14:textId="0709E87B" w:rsidR="00B653BC" w:rsidRPr="0021059E" w:rsidRDefault="00B653BC" w:rsidP="00C94C3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ED Thickness, Infarct Region (mm)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13A83041" w14:textId="6A282207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+1.37</w:t>
            </w:r>
            <w:r w:rsidRPr="0021059E">
              <w:rPr>
                <w:sz w:val="17"/>
                <w:szCs w:val="17"/>
                <w:vertAlign w:val="superscript"/>
              </w:rPr>
              <w:t>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4FE37D" w14:textId="4EB0D360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+1.03</w:t>
            </w:r>
            <w:r w:rsidRPr="0021059E">
              <w:rPr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1D6FCE4" w14:textId="5379D443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-0.33</w:t>
            </w:r>
          </w:p>
        </w:tc>
      </w:tr>
      <w:tr w:rsidR="00B653BC" w:rsidRPr="0021059E" w14:paraId="6F872E17" w14:textId="77777777" w:rsidTr="00B653BC">
        <w:trPr>
          <w:trHeight w:val="182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11CE756C" w14:textId="47B6AD5C" w:rsidR="00B653BC" w:rsidRPr="0021059E" w:rsidRDefault="00B653BC" w:rsidP="00C94C3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ED Thick</w:t>
            </w:r>
            <w:r>
              <w:rPr>
                <w:b/>
                <w:bCs/>
                <w:sz w:val="17"/>
                <w:szCs w:val="17"/>
              </w:rPr>
              <w:t>ne</w:t>
            </w:r>
            <w:r w:rsidRPr="0021059E">
              <w:rPr>
                <w:b/>
                <w:bCs/>
                <w:sz w:val="17"/>
                <w:szCs w:val="17"/>
              </w:rPr>
              <w:t xml:space="preserve">ss, </w:t>
            </w:r>
            <w:proofErr w:type="spellStart"/>
            <w:r w:rsidRPr="0021059E">
              <w:rPr>
                <w:b/>
                <w:bCs/>
                <w:sz w:val="17"/>
                <w:szCs w:val="17"/>
              </w:rPr>
              <w:t>NonInfarcted</w:t>
            </w:r>
            <w:proofErr w:type="spellEnd"/>
            <w:r w:rsidRPr="0021059E">
              <w:rPr>
                <w:b/>
                <w:bCs/>
                <w:sz w:val="17"/>
                <w:szCs w:val="17"/>
              </w:rPr>
              <w:t xml:space="preserve"> Region (mm)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73229277" w14:textId="03D0EC3B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+0.46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9CAD5" w14:textId="01033767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+0.13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5FC6FA8F" w14:textId="73712516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-0.33</w:t>
            </w:r>
          </w:p>
        </w:tc>
      </w:tr>
      <w:tr w:rsidR="00B653BC" w:rsidRPr="0021059E" w14:paraId="7228ED14" w14:textId="77777777" w:rsidTr="00B653BC">
        <w:trPr>
          <w:trHeight w:val="182"/>
        </w:trPr>
        <w:tc>
          <w:tcPr>
            <w:tcW w:w="369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033099E5" w14:textId="6C22E168" w:rsidR="00B653BC" w:rsidRPr="0021059E" w:rsidRDefault="00B653BC" w:rsidP="00C94C3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7"/>
                <w:szCs w:val="17"/>
              </w:rPr>
            </w:pPr>
            <w:r w:rsidRPr="0021059E">
              <w:rPr>
                <w:b/>
                <w:bCs/>
                <w:sz w:val="17"/>
                <w:szCs w:val="17"/>
              </w:rPr>
              <w:t>ED Thickness, Average (mm)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</w:tcPr>
          <w:p w14:paraId="0037B80E" w14:textId="2A313F5A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+0.55</w:t>
            </w:r>
            <w:r w:rsidRPr="0021059E">
              <w:rPr>
                <w:sz w:val="17"/>
                <w:szCs w:val="17"/>
                <w:vertAlign w:val="superscript"/>
              </w:rPr>
              <w:t>*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9CB1BF" w14:textId="1DF9D7B8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+0.24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A5BE33A" w14:textId="14D578A0" w:rsidR="00B653BC" w:rsidRPr="0021059E" w:rsidRDefault="00B653BC" w:rsidP="00C94C31">
            <w:pPr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21059E">
              <w:rPr>
                <w:sz w:val="17"/>
                <w:szCs w:val="17"/>
              </w:rPr>
              <w:t>-0.31</w:t>
            </w:r>
          </w:p>
        </w:tc>
      </w:tr>
    </w:tbl>
    <w:p w14:paraId="6CF70220" w14:textId="1CEF4251" w:rsidR="0021059E" w:rsidRDefault="00251957" w:rsidP="0021059E">
      <w:pPr>
        <w:autoSpaceDE w:val="0"/>
        <w:autoSpaceDN w:val="0"/>
        <w:adjustRightInd w:val="0"/>
        <w:jc w:val="both"/>
        <w:rPr>
          <w:bCs/>
        </w:rPr>
      </w:pPr>
      <w:r w:rsidRPr="00DC4505">
        <w:rPr>
          <w:bCs/>
        </w:rPr>
        <w:t xml:space="preserve">Table </w:t>
      </w:r>
      <w:r>
        <w:rPr>
          <w:bCs/>
        </w:rPr>
        <w:t>S</w:t>
      </w:r>
      <w:r w:rsidR="00E33EBE">
        <w:rPr>
          <w:bCs/>
        </w:rPr>
        <w:t>5</w:t>
      </w:r>
      <w:r w:rsidRPr="00DC4505">
        <w:rPr>
          <w:bCs/>
        </w:rPr>
        <w:t xml:space="preserve">, </w:t>
      </w:r>
      <w:r w:rsidR="00484779">
        <w:rPr>
          <w:bCs/>
        </w:rPr>
        <w:t xml:space="preserve">Change in </w:t>
      </w:r>
      <w:r>
        <w:rPr>
          <w:bCs/>
        </w:rPr>
        <w:t xml:space="preserve">LV </w:t>
      </w:r>
      <w:r w:rsidRPr="00DC4505">
        <w:rPr>
          <w:bCs/>
        </w:rPr>
        <w:t>Hemodynamic</w:t>
      </w:r>
      <w:r w:rsidR="00484779">
        <w:rPr>
          <w:bCs/>
        </w:rPr>
        <w:t xml:space="preserve">, </w:t>
      </w:r>
      <w:r>
        <w:rPr>
          <w:bCs/>
        </w:rPr>
        <w:t>Pressure-Volume</w:t>
      </w:r>
      <w:r w:rsidR="00484779">
        <w:rPr>
          <w:bCs/>
        </w:rPr>
        <w:t xml:space="preserve">, Strain, and ED Thickness </w:t>
      </w:r>
      <w:r>
        <w:rPr>
          <w:bCs/>
        </w:rPr>
        <w:t>measures</w:t>
      </w:r>
      <w:r w:rsidRPr="00DC4505">
        <w:rPr>
          <w:bCs/>
        </w:rPr>
        <w:t xml:space="preserve"> </w:t>
      </w:r>
      <w:r>
        <w:rPr>
          <w:bCs/>
        </w:rPr>
        <w:t xml:space="preserve">at Baseline, </w:t>
      </w:r>
      <w:r w:rsidRPr="00DC4505">
        <w:rPr>
          <w:bCs/>
        </w:rPr>
        <w:t>Post</w:t>
      </w:r>
      <w:r>
        <w:rPr>
          <w:bCs/>
        </w:rPr>
        <w:t xml:space="preserve"> </w:t>
      </w:r>
      <w:r w:rsidRPr="00DC4505">
        <w:rPr>
          <w:bCs/>
        </w:rPr>
        <w:t>MI</w:t>
      </w:r>
      <w:r>
        <w:rPr>
          <w:bCs/>
        </w:rPr>
        <w:t>,</w:t>
      </w:r>
      <w:r w:rsidRPr="00DC4505">
        <w:rPr>
          <w:bCs/>
        </w:rPr>
        <w:t xml:space="preserve"> </w:t>
      </w:r>
      <w:r>
        <w:rPr>
          <w:bCs/>
        </w:rPr>
        <w:t xml:space="preserve">and Post Treatment </w:t>
      </w:r>
      <w:r w:rsidRPr="00DC4505">
        <w:rPr>
          <w:bCs/>
        </w:rPr>
        <w:t xml:space="preserve">in the Hydrogel </w:t>
      </w:r>
      <w:r>
        <w:rPr>
          <w:bCs/>
        </w:rPr>
        <w:t xml:space="preserve">and Control group. </w:t>
      </w:r>
    </w:p>
    <w:p w14:paraId="4ABE5C39" w14:textId="5B196F59" w:rsidR="00167B77" w:rsidRPr="00E870DF" w:rsidRDefault="001A598C" w:rsidP="0021059E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Significance Levels: </w:t>
      </w:r>
      <w:r w:rsidR="0077240F" w:rsidRPr="002A2D06">
        <w:rPr>
          <w:bCs/>
          <w:vertAlign w:val="superscript"/>
        </w:rPr>
        <w:t>***</w:t>
      </w:r>
      <w:r w:rsidR="0077240F">
        <w:rPr>
          <w:bCs/>
        </w:rPr>
        <w:t xml:space="preserve"> </w:t>
      </w:r>
      <w:r w:rsidR="009B10B0">
        <w:rPr>
          <w:bCs/>
        </w:rPr>
        <w:t xml:space="preserve">= </w:t>
      </w:r>
      <w:r w:rsidR="0077240F">
        <w:rPr>
          <w:bCs/>
        </w:rPr>
        <w:t xml:space="preserve">p &lt; 0.01, </w:t>
      </w:r>
      <w:r w:rsidR="00251957" w:rsidRPr="002A2D06">
        <w:rPr>
          <w:bCs/>
          <w:vertAlign w:val="superscript"/>
        </w:rPr>
        <w:t>**</w:t>
      </w:r>
      <w:r w:rsidR="00251957" w:rsidRPr="00B703B5">
        <w:rPr>
          <w:bCs/>
        </w:rPr>
        <w:t xml:space="preserve"> </w:t>
      </w:r>
      <w:r w:rsidR="009B10B0">
        <w:rPr>
          <w:bCs/>
        </w:rPr>
        <w:t xml:space="preserve">= </w:t>
      </w:r>
      <w:r w:rsidR="00251957" w:rsidRPr="00B703B5">
        <w:rPr>
          <w:bCs/>
        </w:rPr>
        <w:t>p &lt; 0.0</w:t>
      </w:r>
      <w:r>
        <w:rPr>
          <w:bCs/>
        </w:rPr>
        <w:t xml:space="preserve">5, </w:t>
      </w:r>
      <w:r w:rsidRPr="002A2D06">
        <w:rPr>
          <w:bCs/>
          <w:vertAlign w:val="superscript"/>
        </w:rPr>
        <w:t>*</w:t>
      </w:r>
      <w:r>
        <w:rPr>
          <w:bCs/>
        </w:rPr>
        <w:t xml:space="preserve"> </w:t>
      </w:r>
      <w:r w:rsidR="009B10B0">
        <w:rPr>
          <w:bCs/>
        </w:rPr>
        <w:t xml:space="preserve"> = </w:t>
      </w:r>
      <w:r w:rsidR="00251957" w:rsidRPr="00B703B5">
        <w:rPr>
          <w:bCs/>
        </w:rPr>
        <w:t>p &lt; 0.</w:t>
      </w:r>
      <w:r>
        <w:rPr>
          <w:bCs/>
        </w:rPr>
        <w:t>1.</w:t>
      </w:r>
    </w:p>
    <w:sectPr w:rsidR="00167B77" w:rsidRPr="00E870DF" w:rsidSect="006F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7DE5"/>
    <w:multiLevelType w:val="hybridMultilevel"/>
    <w:tmpl w:val="50041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062F"/>
    <w:multiLevelType w:val="hybridMultilevel"/>
    <w:tmpl w:val="F436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6D93"/>
    <w:multiLevelType w:val="hybridMultilevel"/>
    <w:tmpl w:val="CF5EC446"/>
    <w:lvl w:ilvl="0" w:tplc="337EB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A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EC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566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2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0E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C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D6D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22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1208C2"/>
    <w:multiLevelType w:val="multilevel"/>
    <w:tmpl w:val="56EC0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3E0F6B"/>
    <w:multiLevelType w:val="hybridMultilevel"/>
    <w:tmpl w:val="64F2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76AFA"/>
    <w:multiLevelType w:val="hybridMultilevel"/>
    <w:tmpl w:val="83F257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1F80A14"/>
    <w:multiLevelType w:val="hybridMultilevel"/>
    <w:tmpl w:val="AC76C2AC"/>
    <w:lvl w:ilvl="0" w:tplc="B2F6F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E4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C1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C4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18C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6E5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26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C8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86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523D79"/>
    <w:multiLevelType w:val="hybridMultilevel"/>
    <w:tmpl w:val="7184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8585F"/>
    <w:multiLevelType w:val="hybridMultilevel"/>
    <w:tmpl w:val="DFEE505A"/>
    <w:lvl w:ilvl="0" w:tplc="25547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87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66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C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0CA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A0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CE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43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8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33863AC"/>
    <w:multiLevelType w:val="hybridMultilevel"/>
    <w:tmpl w:val="385232B0"/>
    <w:lvl w:ilvl="0" w:tplc="04442292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8E641BCE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2CDEA8A0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A76C8BA4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78723C10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8F1478FC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CBEEFFEA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6852AD6A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2B1EA17A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9134BF"/>
    <w:multiLevelType w:val="hybridMultilevel"/>
    <w:tmpl w:val="82F67AAA"/>
    <w:lvl w:ilvl="0" w:tplc="5D503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0D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ED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4D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DCE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AC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6B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89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EE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723117"/>
    <w:multiLevelType w:val="hybridMultilevel"/>
    <w:tmpl w:val="E1EE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818A2"/>
    <w:multiLevelType w:val="hybridMultilevel"/>
    <w:tmpl w:val="4BAEEB90"/>
    <w:lvl w:ilvl="0" w:tplc="886CF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CE6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6A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CC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A2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27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66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81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6A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4339A0"/>
    <w:multiLevelType w:val="hybridMultilevel"/>
    <w:tmpl w:val="E90AC3A4"/>
    <w:lvl w:ilvl="0" w:tplc="07605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82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C0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64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86C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09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2F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AB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45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D22654"/>
    <w:multiLevelType w:val="hybridMultilevel"/>
    <w:tmpl w:val="5B66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45F1E"/>
    <w:multiLevelType w:val="hybridMultilevel"/>
    <w:tmpl w:val="7736E9BC"/>
    <w:lvl w:ilvl="0" w:tplc="6654299E">
      <w:start w:val="3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EA57A93"/>
    <w:multiLevelType w:val="multilevel"/>
    <w:tmpl w:val="400EB40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0A7B66"/>
    <w:multiLevelType w:val="hybridMultilevel"/>
    <w:tmpl w:val="6B109D7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56834"/>
    <w:multiLevelType w:val="hybridMultilevel"/>
    <w:tmpl w:val="C7F22D34"/>
    <w:lvl w:ilvl="0" w:tplc="6654299E">
      <w:start w:val="3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60AB6"/>
    <w:multiLevelType w:val="hybridMultilevel"/>
    <w:tmpl w:val="E28E2026"/>
    <w:lvl w:ilvl="0" w:tplc="4D5663F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F6F69"/>
    <w:multiLevelType w:val="hybridMultilevel"/>
    <w:tmpl w:val="D88E4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E5877"/>
    <w:multiLevelType w:val="hybridMultilevel"/>
    <w:tmpl w:val="3872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C42B0"/>
    <w:multiLevelType w:val="hybridMultilevel"/>
    <w:tmpl w:val="2E0AA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D0ED9"/>
    <w:multiLevelType w:val="hybridMultilevel"/>
    <w:tmpl w:val="D60E4F40"/>
    <w:lvl w:ilvl="0" w:tplc="DB284E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35D42"/>
    <w:multiLevelType w:val="hybridMultilevel"/>
    <w:tmpl w:val="DE924A08"/>
    <w:lvl w:ilvl="0" w:tplc="9CBEB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7C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CC5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AF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4CB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BA1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6C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8E8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ECF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DE01B15"/>
    <w:multiLevelType w:val="hybridMultilevel"/>
    <w:tmpl w:val="457E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F1100"/>
    <w:multiLevelType w:val="hybridMultilevel"/>
    <w:tmpl w:val="E29E6C62"/>
    <w:lvl w:ilvl="0" w:tplc="DEEC99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D4D7C"/>
    <w:multiLevelType w:val="hybridMultilevel"/>
    <w:tmpl w:val="8E82AB8C"/>
    <w:lvl w:ilvl="0" w:tplc="8D4AF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A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AF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34C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EF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65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F4D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CF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25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6D05A5"/>
    <w:multiLevelType w:val="hybridMultilevel"/>
    <w:tmpl w:val="760C4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C14B4"/>
    <w:multiLevelType w:val="hybridMultilevel"/>
    <w:tmpl w:val="FEF0E2AE"/>
    <w:lvl w:ilvl="0" w:tplc="4D5663F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97ECC"/>
    <w:multiLevelType w:val="hybridMultilevel"/>
    <w:tmpl w:val="5E1E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E0E3E"/>
    <w:multiLevelType w:val="hybridMultilevel"/>
    <w:tmpl w:val="65C4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6063D"/>
    <w:multiLevelType w:val="hybridMultilevel"/>
    <w:tmpl w:val="EA5A3ABC"/>
    <w:lvl w:ilvl="0" w:tplc="C4966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EED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72B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6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AB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92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867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BA5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24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97E3714"/>
    <w:multiLevelType w:val="hybridMultilevel"/>
    <w:tmpl w:val="51022F6A"/>
    <w:lvl w:ilvl="0" w:tplc="6C50A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9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C4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A1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02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A7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64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0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8F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F54180A"/>
    <w:multiLevelType w:val="hybridMultilevel"/>
    <w:tmpl w:val="D2F204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107457954">
    <w:abstractNumId w:val="23"/>
  </w:num>
  <w:num w:numId="2" w16cid:durableId="618872564">
    <w:abstractNumId w:val="34"/>
  </w:num>
  <w:num w:numId="3" w16cid:durableId="1015375768">
    <w:abstractNumId w:val="5"/>
  </w:num>
  <w:num w:numId="4" w16cid:durableId="1935897532">
    <w:abstractNumId w:val="7"/>
  </w:num>
  <w:num w:numId="5" w16cid:durableId="290671894">
    <w:abstractNumId w:val="14"/>
  </w:num>
  <w:num w:numId="6" w16cid:durableId="1712992204">
    <w:abstractNumId w:val="25"/>
  </w:num>
  <w:num w:numId="7" w16cid:durableId="1641761725">
    <w:abstractNumId w:val="21"/>
  </w:num>
  <w:num w:numId="8" w16cid:durableId="1871793926">
    <w:abstractNumId w:val="17"/>
  </w:num>
  <w:num w:numId="9" w16cid:durableId="287899739">
    <w:abstractNumId w:val="15"/>
  </w:num>
  <w:num w:numId="10" w16cid:durableId="1156535415">
    <w:abstractNumId w:val="18"/>
  </w:num>
  <w:num w:numId="11" w16cid:durableId="1162816833">
    <w:abstractNumId w:val="20"/>
  </w:num>
  <w:num w:numId="12" w16cid:durableId="719015776">
    <w:abstractNumId w:val="30"/>
  </w:num>
  <w:num w:numId="13" w16cid:durableId="1969388232">
    <w:abstractNumId w:val="11"/>
  </w:num>
  <w:num w:numId="14" w16cid:durableId="944927694">
    <w:abstractNumId w:val="32"/>
  </w:num>
  <w:num w:numId="15" w16cid:durableId="769548617">
    <w:abstractNumId w:val="0"/>
  </w:num>
  <w:num w:numId="16" w16cid:durableId="156189961">
    <w:abstractNumId w:val="27"/>
  </w:num>
  <w:num w:numId="17" w16cid:durableId="502861705">
    <w:abstractNumId w:val="24"/>
  </w:num>
  <w:num w:numId="18" w16cid:durableId="237709190">
    <w:abstractNumId w:val="16"/>
  </w:num>
  <w:num w:numId="19" w16cid:durableId="1198085754">
    <w:abstractNumId w:val="33"/>
  </w:num>
  <w:num w:numId="20" w16cid:durableId="120731690">
    <w:abstractNumId w:val="8"/>
  </w:num>
  <w:num w:numId="21" w16cid:durableId="706610738">
    <w:abstractNumId w:val="13"/>
  </w:num>
  <w:num w:numId="22" w16cid:durableId="1673796901">
    <w:abstractNumId w:val="10"/>
  </w:num>
  <w:num w:numId="23" w16cid:durableId="497572714">
    <w:abstractNumId w:val="2"/>
  </w:num>
  <w:num w:numId="24" w16cid:durableId="987592053">
    <w:abstractNumId w:val="6"/>
  </w:num>
  <w:num w:numId="25" w16cid:durableId="1956859748">
    <w:abstractNumId w:val="12"/>
  </w:num>
  <w:num w:numId="26" w16cid:durableId="1971014098">
    <w:abstractNumId w:val="3"/>
  </w:num>
  <w:num w:numId="27" w16cid:durableId="103694841">
    <w:abstractNumId w:val="9"/>
  </w:num>
  <w:num w:numId="28" w16cid:durableId="449014939">
    <w:abstractNumId w:val="1"/>
  </w:num>
  <w:num w:numId="29" w16cid:durableId="1797984109">
    <w:abstractNumId w:val="19"/>
  </w:num>
  <w:num w:numId="30" w16cid:durableId="1678382240">
    <w:abstractNumId w:val="29"/>
  </w:num>
  <w:num w:numId="31" w16cid:durableId="357005941">
    <w:abstractNumId w:val="4"/>
  </w:num>
  <w:num w:numId="32" w16cid:durableId="1658143119">
    <w:abstractNumId w:val="22"/>
  </w:num>
  <w:num w:numId="33" w16cid:durableId="989096131">
    <w:abstractNumId w:val="28"/>
  </w:num>
  <w:num w:numId="34" w16cid:durableId="145827924">
    <w:abstractNumId w:val="31"/>
  </w:num>
  <w:num w:numId="35" w16cid:durableId="100305280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EE"/>
    <w:rsid w:val="00015BBD"/>
    <w:rsid w:val="00033BFE"/>
    <w:rsid w:val="000557A6"/>
    <w:rsid w:val="00063A59"/>
    <w:rsid w:val="00065FFE"/>
    <w:rsid w:val="00091B20"/>
    <w:rsid w:val="000D5A47"/>
    <w:rsid w:val="00105AFE"/>
    <w:rsid w:val="00167B77"/>
    <w:rsid w:val="001A598C"/>
    <w:rsid w:val="001E4BEF"/>
    <w:rsid w:val="0021059E"/>
    <w:rsid w:val="00210DD9"/>
    <w:rsid w:val="002221BF"/>
    <w:rsid w:val="00235218"/>
    <w:rsid w:val="0024075D"/>
    <w:rsid w:val="00251957"/>
    <w:rsid w:val="002546F4"/>
    <w:rsid w:val="00266D0E"/>
    <w:rsid w:val="00284B93"/>
    <w:rsid w:val="0028575A"/>
    <w:rsid w:val="002A2D06"/>
    <w:rsid w:val="002C3073"/>
    <w:rsid w:val="002D5BBF"/>
    <w:rsid w:val="002E1B3D"/>
    <w:rsid w:val="00314C5E"/>
    <w:rsid w:val="00345589"/>
    <w:rsid w:val="00380B8D"/>
    <w:rsid w:val="003B2153"/>
    <w:rsid w:val="003D041A"/>
    <w:rsid w:val="0044749C"/>
    <w:rsid w:val="00455CAF"/>
    <w:rsid w:val="00465FAE"/>
    <w:rsid w:val="00484779"/>
    <w:rsid w:val="00493796"/>
    <w:rsid w:val="004C2A34"/>
    <w:rsid w:val="004F47EE"/>
    <w:rsid w:val="0050306E"/>
    <w:rsid w:val="0052201E"/>
    <w:rsid w:val="00543468"/>
    <w:rsid w:val="00555183"/>
    <w:rsid w:val="00557D6A"/>
    <w:rsid w:val="0056206B"/>
    <w:rsid w:val="005712B4"/>
    <w:rsid w:val="00592DC1"/>
    <w:rsid w:val="005958DC"/>
    <w:rsid w:val="005A3387"/>
    <w:rsid w:val="005C112F"/>
    <w:rsid w:val="005C489E"/>
    <w:rsid w:val="005D3C01"/>
    <w:rsid w:val="0062114E"/>
    <w:rsid w:val="00651367"/>
    <w:rsid w:val="00681A8C"/>
    <w:rsid w:val="006B4A27"/>
    <w:rsid w:val="006C4281"/>
    <w:rsid w:val="006F195D"/>
    <w:rsid w:val="006F2A26"/>
    <w:rsid w:val="006F4974"/>
    <w:rsid w:val="00704752"/>
    <w:rsid w:val="00711E77"/>
    <w:rsid w:val="007320DB"/>
    <w:rsid w:val="00766E18"/>
    <w:rsid w:val="0077240F"/>
    <w:rsid w:val="00772773"/>
    <w:rsid w:val="00784A68"/>
    <w:rsid w:val="00787727"/>
    <w:rsid w:val="007B1E1E"/>
    <w:rsid w:val="007D18FB"/>
    <w:rsid w:val="008070EC"/>
    <w:rsid w:val="00831E19"/>
    <w:rsid w:val="00882DB3"/>
    <w:rsid w:val="00897A50"/>
    <w:rsid w:val="008A41D9"/>
    <w:rsid w:val="008E0EE7"/>
    <w:rsid w:val="008E7CCA"/>
    <w:rsid w:val="008F1627"/>
    <w:rsid w:val="008F3F58"/>
    <w:rsid w:val="008F6184"/>
    <w:rsid w:val="009056D3"/>
    <w:rsid w:val="009308CA"/>
    <w:rsid w:val="00932731"/>
    <w:rsid w:val="009501E7"/>
    <w:rsid w:val="009673E2"/>
    <w:rsid w:val="009861D5"/>
    <w:rsid w:val="00993A0E"/>
    <w:rsid w:val="009A1B4D"/>
    <w:rsid w:val="009A74BB"/>
    <w:rsid w:val="009B10B0"/>
    <w:rsid w:val="009D5DD7"/>
    <w:rsid w:val="009F0B1D"/>
    <w:rsid w:val="00A07CE7"/>
    <w:rsid w:val="00A1054D"/>
    <w:rsid w:val="00A476A7"/>
    <w:rsid w:val="00A829BF"/>
    <w:rsid w:val="00A91743"/>
    <w:rsid w:val="00AB6314"/>
    <w:rsid w:val="00AD48D6"/>
    <w:rsid w:val="00B0055C"/>
    <w:rsid w:val="00B21D77"/>
    <w:rsid w:val="00B6508B"/>
    <w:rsid w:val="00B653BC"/>
    <w:rsid w:val="00BB37BE"/>
    <w:rsid w:val="00C11F42"/>
    <w:rsid w:val="00C426F4"/>
    <w:rsid w:val="00C463D4"/>
    <w:rsid w:val="00C5227C"/>
    <w:rsid w:val="00C5780F"/>
    <w:rsid w:val="00C61BC0"/>
    <w:rsid w:val="00C80032"/>
    <w:rsid w:val="00C93384"/>
    <w:rsid w:val="00C94C31"/>
    <w:rsid w:val="00CB41DD"/>
    <w:rsid w:val="00CB758A"/>
    <w:rsid w:val="00D24A4B"/>
    <w:rsid w:val="00D271E0"/>
    <w:rsid w:val="00D632FF"/>
    <w:rsid w:val="00D65AE7"/>
    <w:rsid w:val="00D67AA7"/>
    <w:rsid w:val="00D7755D"/>
    <w:rsid w:val="00DD2498"/>
    <w:rsid w:val="00DF76A1"/>
    <w:rsid w:val="00E036EF"/>
    <w:rsid w:val="00E114C9"/>
    <w:rsid w:val="00E12707"/>
    <w:rsid w:val="00E33EBE"/>
    <w:rsid w:val="00E4608F"/>
    <w:rsid w:val="00E46D75"/>
    <w:rsid w:val="00E570A2"/>
    <w:rsid w:val="00E870DF"/>
    <w:rsid w:val="00E94D4A"/>
    <w:rsid w:val="00EA6C61"/>
    <w:rsid w:val="00EA76D8"/>
    <w:rsid w:val="00EB135A"/>
    <w:rsid w:val="00F4216A"/>
    <w:rsid w:val="00F65953"/>
    <w:rsid w:val="00F769CA"/>
    <w:rsid w:val="00F93838"/>
    <w:rsid w:val="00FA18A1"/>
    <w:rsid w:val="00FB282F"/>
    <w:rsid w:val="00FD0558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57D7B"/>
  <w15:chartTrackingRefBased/>
  <w15:docId w15:val="{01AB85E0-3D1C-7B46-96EE-FD044357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0EC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E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uiPriority w:val="99"/>
    <w:rsid w:val="008070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0E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251957"/>
    <w:rPr>
      <w:color w:val="0000FF"/>
      <w:u w:val="single"/>
    </w:rPr>
  </w:style>
  <w:style w:type="paragraph" w:customStyle="1" w:styleId="Default">
    <w:name w:val="Default"/>
    <w:rsid w:val="00251957"/>
    <w:pPr>
      <w:widowControl w:val="0"/>
      <w:autoSpaceDE w:val="0"/>
      <w:autoSpaceDN w:val="0"/>
      <w:adjustRightInd w:val="0"/>
      <w:spacing w:after="160" w:line="480" w:lineRule="auto"/>
    </w:pPr>
    <w:rPr>
      <w:rFonts w:ascii="Times New Roman" w:eastAsia="Cambria" w:hAnsi="Times New Roman" w:cs="Times New Roman"/>
      <w:color w:val="000000"/>
    </w:rPr>
  </w:style>
  <w:style w:type="paragraph" w:customStyle="1" w:styleId="Body">
    <w:name w:val="Body"/>
    <w:link w:val="BodyCar"/>
    <w:autoRedefine/>
    <w:rsid w:val="00251957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spacing w:after="160" w:line="480" w:lineRule="auto"/>
      <w:ind w:firstLine="360"/>
      <w:contextualSpacing/>
      <w:jc w:val="both"/>
    </w:pPr>
    <w:rPr>
      <w:rFonts w:ascii="Times New Roman" w:eastAsia="Arial Unicode MS" w:hAnsi="Times New Roman" w:cs="Times New Roman"/>
      <w:bCs/>
      <w:color w:val="000000"/>
    </w:rPr>
  </w:style>
  <w:style w:type="character" w:customStyle="1" w:styleId="BodyCar">
    <w:name w:val="Body Car"/>
    <w:link w:val="Body"/>
    <w:rsid w:val="00251957"/>
    <w:rPr>
      <w:rFonts w:ascii="Times New Roman" w:eastAsia="Arial Unicode MS" w:hAnsi="Times New Roman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251957"/>
    <w:pPr>
      <w:ind w:left="720"/>
      <w:contextualSpacing/>
    </w:pPr>
    <w:rPr>
      <w:rFonts w:eastAsia="MS Mincho"/>
    </w:rPr>
  </w:style>
  <w:style w:type="character" w:customStyle="1" w:styleId="apple-converted-space">
    <w:name w:val="apple-converted-space"/>
    <w:rsid w:val="00251957"/>
  </w:style>
  <w:style w:type="paragraph" w:customStyle="1" w:styleId="EndNoteBibliographyTitle">
    <w:name w:val="EndNote Bibliography Title"/>
    <w:basedOn w:val="Normal"/>
    <w:link w:val="EndNoteBibliographyTitleChar"/>
    <w:rsid w:val="00251957"/>
    <w:pPr>
      <w:jc w:val="center"/>
    </w:pPr>
    <w:rPr>
      <w:rFonts w:ascii="Cambria" w:eastAsia="Cambria" w:hAnsi="Cambria"/>
    </w:rPr>
  </w:style>
  <w:style w:type="character" w:customStyle="1" w:styleId="EndNoteBibliographyTitleChar">
    <w:name w:val="EndNote Bibliography Title Char"/>
    <w:link w:val="EndNoteBibliographyTitle"/>
    <w:rsid w:val="00251957"/>
    <w:rPr>
      <w:rFonts w:ascii="Cambria" w:eastAsia="Cambria" w:hAnsi="Cambria" w:cs="Times New Roman"/>
    </w:rPr>
  </w:style>
  <w:style w:type="paragraph" w:customStyle="1" w:styleId="EndNoteBibliography">
    <w:name w:val="EndNote Bibliography"/>
    <w:basedOn w:val="Normal"/>
    <w:link w:val="EndNoteBibliographyChar"/>
    <w:rsid w:val="00251957"/>
    <w:pPr>
      <w:spacing w:after="200"/>
    </w:pPr>
    <w:rPr>
      <w:rFonts w:ascii="Cambria" w:eastAsia="Cambria" w:hAnsi="Cambria"/>
    </w:rPr>
  </w:style>
  <w:style w:type="character" w:customStyle="1" w:styleId="EndNoteBibliographyChar">
    <w:name w:val="EndNote Bibliography Char"/>
    <w:link w:val="EndNoteBibliography"/>
    <w:rsid w:val="00251957"/>
    <w:rPr>
      <w:rFonts w:ascii="Cambria" w:eastAsia="Cambria" w:hAnsi="Cambria" w:cs="Times New Roman"/>
    </w:rPr>
  </w:style>
  <w:style w:type="paragraph" w:styleId="NoSpacing">
    <w:name w:val="No Spacing"/>
    <w:uiPriority w:val="1"/>
    <w:qFormat/>
    <w:rsid w:val="00251957"/>
    <w:pPr>
      <w:spacing w:after="160" w:line="480" w:lineRule="auto"/>
    </w:pPr>
    <w:rPr>
      <w:rFonts w:ascii="Cambria" w:eastAsia="Cambria" w:hAnsi="Cambria" w:cs="Times New Roman"/>
    </w:rPr>
  </w:style>
  <w:style w:type="character" w:customStyle="1" w:styleId="citationref">
    <w:name w:val="citationref"/>
    <w:basedOn w:val="DefaultParagraphFont"/>
    <w:rsid w:val="00251957"/>
  </w:style>
  <w:style w:type="character" w:styleId="Emphasis">
    <w:name w:val="Emphasis"/>
    <w:uiPriority w:val="20"/>
    <w:qFormat/>
    <w:rsid w:val="00251957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9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9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1957"/>
    <w:rPr>
      <w:rFonts w:ascii="Times New Roman" w:eastAsia="Times New Roman" w:hAnsi="Times New Roman" w:cs="Times New Roman"/>
    </w:rPr>
  </w:style>
  <w:style w:type="character" w:styleId="Mention">
    <w:name w:val="Mention"/>
    <w:uiPriority w:val="99"/>
    <w:semiHidden/>
    <w:unhideWhenUsed/>
    <w:rsid w:val="0025195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51957"/>
    <w:pPr>
      <w:spacing w:before="100" w:beforeAutospacing="1" w:after="100" w:afterAutospacing="1"/>
    </w:pPr>
    <w:rPr>
      <w:rFonts w:eastAsia="PMingLiU"/>
      <w:lang w:eastAsia="zh-TW"/>
    </w:rPr>
  </w:style>
  <w:style w:type="character" w:customStyle="1" w:styleId="nobrwithwbr">
    <w:name w:val="nobrwithwbr"/>
    <w:basedOn w:val="DefaultParagraphFont"/>
    <w:rsid w:val="00251957"/>
  </w:style>
  <w:style w:type="paragraph" w:styleId="Header">
    <w:name w:val="header"/>
    <w:basedOn w:val="Normal"/>
    <w:link w:val="HeaderChar"/>
    <w:uiPriority w:val="99"/>
    <w:unhideWhenUsed/>
    <w:rsid w:val="002519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9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19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95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51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unhideWhenUsed/>
    <w:rsid w:val="00251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Midgett, Dan</dc:creator>
  <cp:keywords/>
  <dc:description/>
  <cp:lastModifiedBy>Midgett, Dan</cp:lastModifiedBy>
  <cp:revision>4</cp:revision>
  <dcterms:created xsi:type="dcterms:W3CDTF">2022-03-09T21:44:00Z</dcterms:created>
  <dcterms:modified xsi:type="dcterms:W3CDTF">2022-05-03T21:14:00Z</dcterms:modified>
</cp:coreProperties>
</file>