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9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71"/>
        <w:gridCol w:w="970"/>
      </w:tblGrid>
      <w:tr>
        <w:trPr>
          <w:cnfStyle w:firstRow="1"/>
        </w:trPr>
        <w:tc>
          <w:tcPr>
            <w:tcW w:w="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971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97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720" w:top="1999" w:footer="720" w:bottom="184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  <w:font w:name="Roboto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  <w:t>Copyright © 2020  Shawn Jordan and Daniel M. Aukes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THIS CONTENT IS PROTECTED AND MAY NOT BE SHARED, UPLOADED, SOLD, OR DISTRIBUTED.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60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3129"/>
      <w:gridCol w:w="3057"/>
      <w:gridCol w:w="3174"/>
    </w:tblGrid>
    <w:tr>
      <w:trPr>
        <w:trHeight w:val="717" w:hRule="atLeast"/>
        <w:cantSplit w:val="true"/>
      </w:trPr>
      <w:tc>
        <w:tcPr>
          <w:tcW w:w="3129" w:type="dxa"/>
          <w:tcBorders/>
          <w:vAlign w:val="center"/>
        </w:tcPr>
        <w:p>
          <w:pPr>
            <w:pStyle w:val="Header"/>
            <w:rPr>
              <w:sz w:val="48"/>
              <w:szCs w:val="32"/>
            </w:rPr>
          </w:pPr>
          <w:r>
            <w:rPr>
              <w:sz w:val="48"/>
              <w:szCs w:val="32"/>
            </w:rPr>
            <w:t>EGR304</w:t>
          </w:r>
        </w:p>
      </w:tc>
      <w:tc>
        <w:tcPr>
          <w:tcW w:w="3057" w:type="dxa"/>
          <w:tcBorders/>
          <w:vAlign w:val="cente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74" w:type="dxa"/>
          <w:tcBorders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1751965" cy="457200"/>
                <wp:effectExtent l="0" t="0" r="0" b="0"/>
                <wp:docPr id="1" name="Image1" descr="C:\Users\danaukes\AppData\Local\Microsoft\Windows\INetCache\Content.Word\ASU_FultonEngineering_Horiz_RGB_MaroonGold_60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C:\Users\danaukes\AppData\Local\Microsoft\Windows\INetCache\Content.Word\ASU_FultonEngineering_Horiz_RGB_MaroonGold_60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2" t="15210" r="5832" b="152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96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fals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 w:themeColor="accent1" w:themeShade="b5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/>
      <w:bCs/>
      <w:color w:val="000000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/>
      <w:iCs/>
      <w:color w:val="000000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color w:val="000000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" w:cs="" w:cstheme="majorBidi" w:eastAsiaTheme="majorEastAsia"/>
      <w:color w:val="000000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FooterChar">
    <w:name w:val="Footer Char"/>
    <w:qFormat/>
    <w:rPr>
      <w:rFonts w:ascii="Roboto" w:hAnsi="Roboto" w:cs="Roboto"/>
      <w:sz w:val="16"/>
      <w:szCs w:val="16"/>
    </w:rPr>
  </w:style>
  <w:style w:type="character" w:styleId="HeaderChar">
    <w:name w:val="Header Char"/>
    <w:qFormat/>
    <w:rPr>
      <w:rFonts w:ascii="Roboto Black" w:hAnsi="Roboto Black" w:cs="Roboto Black"/>
      <w:sz w:val="20"/>
    </w:rPr>
  </w:style>
  <w:style w:type="character" w:styleId="NormalTok">
    <w:name w:val="NormalTok"/>
    <w:qFormat/>
    <w:rPr>
      <w:rFonts w:ascii="Consolas" w:hAnsi="Consolas" w:eastAsia="Courier New"/>
      <w:sz w:val="22"/>
    </w:rPr>
  </w:style>
  <w:style w:type="character" w:styleId="ErrorTok">
    <w:name w:val="ErrorTok"/>
    <w:qFormat/>
    <w:rPr>
      <w:rFonts w:ascii="Consolas" w:hAnsi="Consolas" w:eastAsia="Courier New"/>
      <w:b/>
      <w:color w:val="FF0000"/>
      <w:sz w:val="22"/>
    </w:rPr>
  </w:style>
  <w:style w:type="character" w:styleId="AlertTok">
    <w:name w:val="AlertTok"/>
    <w:qFormat/>
    <w:rPr>
      <w:rFonts w:ascii="Consolas" w:hAnsi="Consolas" w:eastAsia="Courier New"/>
      <w:b/>
      <w:color w:val="FF0000"/>
      <w:sz w:val="22"/>
    </w:rPr>
  </w:style>
  <w:style w:type="character" w:styleId="WarningTok">
    <w:name w:val="WarningTok"/>
    <w:qFormat/>
    <w:rPr>
      <w:rFonts w:ascii="Consolas" w:hAnsi="Consolas" w:eastAsia="Courier New"/>
      <w:b/>
      <w:i/>
      <w:color w:val="60A0B0"/>
      <w:sz w:val="22"/>
    </w:rPr>
  </w:style>
  <w:style w:type="character" w:styleId="InformationTok">
    <w:name w:val="InformationTok"/>
    <w:qFormat/>
    <w:rPr>
      <w:rFonts w:ascii="Consolas" w:hAnsi="Consolas" w:eastAsia="Courier New"/>
      <w:b/>
      <w:i/>
      <w:color w:val="60A0B0"/>
      <w:sz w:val="22"/>
    </w:rPr>
  </w:style>
  <w:style w:type="character" w:styleId="RegionMarkerTok">
    <w:name w:val="RegionMarkerTok"/>
    <w:qFormat/>
    <w:rPr>
      <w:rFonts w:ascii="Consolas" w:hAnsi="Consolas" w:eastAsia="Courier New"/>
      <w:sz w:val="22"/>
    </w:rPr>
  </w:style>
  <w:style w:type="character" w:styleId="AttributeTok">
    <w:name w:val="AttributeTok"/>
    <w:qFormat/>
    <w:rPr>
      <w:rFonts w:ascii="Consolas" w:hAnsi="Consolas" w:eastAsia="Courier New"/>
      <w:color w:val="7D9029"/>
      <w:sz w:val="22"/>
    </w:rPr>
  </w:style>
  <w:style w:type="character" w:styleId="PreprocessorTok">
    <w:name w:val="PreprocessorTok"/>
    <w:qFormat/>
    <w:rPr>
      <w:rFonts w:ascii="Consolas" w:hAnsi="Consolas" w:eastAsia="Courier New"/>
      <w:color w:val="BC7A00"/>
      <w:sz w:val="22"/>
    </w:rPr>
  </w:style>
  <w:style w:type="character" w:styleId="ExtensionTok">
    <w:name w:val="ExtensionTok"/>
    <w:qFormat/>
    <w:rPr>
      <w:rFonts w:ascii="Consolas" w:hAnsi="Consolas" w:eastAsia="Courier New"/>
      <w:sz w:val="22"/>
    </w:rPr>
  </w:style>
  <w:style w:type="character" w:styleId="BuiltInTok">
    <w:name w:val="BuiltInTok"/>
    <w:qFormat/>
    <w:rPr>
      <w:rFonts w:ascii="Consolas" w:hAnsi="Consolas" w:eastAsia="Courier New"/>
      <w:sz w:val="22"/>
    </w:rPr>
  </w:style>
  <w:style w:type="character" w:styleId="OperatorTok">
    <w:name w:val="OperatorTok"/>
    <w:qFormat/>
    <w:rPr>
      <w:rFonts w:ascii="Consolas" w:hAnsi="Consolas" w:eastAsia="Courier New"/>
      <w:color w:val="666666"/>
      <w:sz w:val="22"/>
    </w:rPr>
  </w:style>
  <w:style w:type="character" w:styleId="ControlFlowTok">
    <w:name w:val="ControlFlowTok"/>
    <w:qFormat/>
    <w:rPr>
      <w:rFonts w:ascii="Consolas" w:hAnsi="Consolas" w:eastAsia="Courier New"/>
      <w:b/>
      <w:color w:val="007020"/>
      <w:sz w:val="22"/>
    </w:rPr>
  </w:style>
  <w:style w:type="character" w:styleId="VariableTok">
    <w:name w:val="VariableTok"/>
    <w:qFormat/>
    <w:rPr>
      <w:rFonts w:ascii="Consolas" w:hAnsi="Consolas" w:eastAsia="Courier New"/>
      <w:color w:val="19177C"/>
      <w:sz w:val="22"/>
    </w:rPr>
  </w:style>
  <w:style w:type="character" w:styleId="FunctionTok">
    <w:name w:val="FunctionTok"/>
    <w:qFormat/>
    <w:rPr>
      <w:rFonts w:ascii="Consolas" w:hAnsi="Consolas" w:eastAsia="Courier New"/>
      <w:color w:val="06287E"/>
      <w:sz w:val="22"/>
    </w:rPr>
  </w:style>
  <w:style w:type="character" w:styleId="OtherTok">
    <w:name w:val="OtherTok"/>
    <w:qFormat/>
    <w:rPr>
      <w:rFonts w:ascii="Consolas" w:hAnsi="Consolas" w:eastAsia="Courier New"/>
      <w:color w:val="007020"/>
      <w:sz w:val="22"/>
    </w:rPr>
  </w:style>
  <w:style w:type="character" w:styleId="CommentVarTok">
    <w:name w:val="CommentVarTok"/>
    <w:qFormat/>
    <w:rPr>
      <w:rFonts w:ascii="Consolas" w:hAnsi="Consolas" w:eastAsia="Courier New"/>
      <w:b/>
      <w:i/>
      <w:color w:val="60A0B0"/>
      <w:sz w:val="22"/>
    </w:rPr>
  </w:style>
  <w:style w:type="character" w:styleId="AnnotationTok">
    <w:name w:val="AnnotationTok"/>
    <w:qFormat/>
    <w:rPr>
      <w:rFonts w:ascii="Consolas" w:hAnsi="Consolas" w:eastAsia="Courier New"/>
      <w:b/>
      <w:i/>
      <w:color w:val="60A0B0"/>
      <w:sz w:val="22"/>
    </w:rPr>
  </w:style>
  <w:style w:type="character" w:styleId="DocumentationTok">
    <w:name w:val="DocumentationTok"/>
    <w:qFormat/>
    <w:rPr>
      <w:rFonts w:ascii="Consolas" w:hAnsi="Consolas" w:eastAsia="Courier New"/>
      <w:i/>
      <w:color w:val="BA2121"/>
      <w:sz w:val="22"/>
    </w:rPr>
  </w:style>
  <w:style w:type="character" w:styleId="CommentTok">
    <w:name w:val="CommentTok"/>
    <w:qFormat/>
    <w:rPr>
      <w:rFonts w:ascii="Consolas" w:hAnsi="Consolas" w:eastAsia="Courier New"/>
      <w:i/>
      <w:color w:val="60A0B0"/>
      <w:sz w:val="22"/>
    </w:rPr>
  </w:style>
  <w:style w:type="character" w:styleId="ImportTok">
    <w:name w:val="ImportTok"/>
    <w:qFormat/>
    <w:rPr>
      <w:rFonts w:ascii="Consolas" w:hAnsi="Consolas" w:eastAsia="Courier New"/>
      <w:sz w:val="22"/>
    </w:rPr>
  </w:style>
  <w:style w:type="character" w:styleId="SpecialStringTok">
    <w:name w:val="SpecialStringTok"/>
    <w:qFormat/>
    <w:rPr>
      <w:rFonts w:ascii="Consolas" w:hAnsi="Consolas" w:eastAsia="Courier New"/>
      <w:color w:val="BB6688"/>
      <w:sz w:val="22"/>
    </w:rPr>
  </w:style>
  <w:style w:type="character" w:styleId="VerbatimStringTok">
    <w:name w:val="VerbatimStringTok"/>
    <w:qFormat/>
    <w:rPr>
      <w:rFonts w:ascii="Consolas" w:hAnsi="Consolas" w:eastAsia="Courier New"/>
      <w:color w:val="4070A0"/>
      <w:sz w:val="22"/>
    </w:rPr>
  </w:style>
  <w:style w:type="character" w:styleId="StringTok">
    <w:name w:val="StringTok"/>
    <w:qFormat/>
    <w:rPr>
      <w:rFonts w:ascii="Consolas" w:hAnsi="Consolas" w:eastAsia="Courier New"/>
      <w:color w:val="4070A0"/>
      <w:sz w:val="22"/>
    </w:rPr>
  </w:style>
  <w:style w:type="character" w:styleId="SpecialCharTok">
    <w:name w:val="SpecialCharTok"/>
    <w:qFormat/>
    <w:rPr>
      <w:rFonts w:ascii="Consolas" w:hAnsi="Consolas" w:eastAsia="Courier New"/>
      <w:color w:val="4070A0"/>
      <w:sz w:val="22"/>
    </w:rPr>
  </w:style>
  <w:style w:type="character" w:styleId="CharTok">
    <w:name w:val="CharTok"/>
    <w:qFormat/>
    <w:rPr>
      <w:rFonts w:ascii="Consolas" w:hAnsi="Consolas" w:eastAsia="Courier New"/>
      <w:color w:val="4070A0"/>
      <w:sz w:val="22"/>
    </w:rPr>
  </w:style>
  <w:style w:type="character" w:styleId="ConstantTok">
    <w:name w:val="ConstantTok"/>
    <w:qFormat/>
    <w:rPr>
      <w:rFonts w:ascii="Consolas" w:hAnsi="Consolas" w:eastAsia="Courier New"/>
      <w:color w:val="880000"/>
      <w:sz w:val="22"/>
    </w:rPr>
  </w:style>
  <w:style w:type="character" w:styleId="FloatTok">
    <w:name w:val="FloatTok"/>
    <w:qFormat/>
    <w:rPr>
      <w:rFonts w:ascii="Consolas" w:hAnsi="Consolas" w:eastAsia="Courier New"/>
      <w:color w:val="40A070"/>
      <w:sz w:val="22"/>
    </w:rPr>
  </w:style>
  <w:style w:type="character" w:styleId="BaseNTok">
    <w:name w:val="BaseNTok"/>
    <w:qFormat/>
    <w:rPr>
      <w:rFonts w:ascii="Consolas" w:hAnsi="Consolas" w:eastAsia="Courier New"/>
      <w:color w:val="40A070"/>
      <w:sz w:val="22"/>
    </w:rPr>
  </w:style>
  <w:style w:type="character" w:styleId="DecValTok">
    <w:name w:val="DecValTok"/>
    <w:qFormat/>
    <w:rPr>
      <w:rFonts w:ascii="Consolas" w:hAnsi="Consolas" w:eastAsia="Courier New"/>
      <w:color w:val="40A070"/>
      <w:sz w:val="22"/>
    </w:rPr>
  </w:style>
  <w:style w:type="character" w:styleId="DataTypeTok">
    <w:name w:val="DataTypeTok"/>
    <w:qFormat/>
    <w:rPr>
      <w:rFonts w:ascii="Consolas" w:hAnsi="Consolas" w:eastAsia="Courier New"/>
      <w:color w:val="902000"/>
      <w:sz w:val="22"/>
    </w:rPr>
  </w:style>
  <w:style w:type="character" w:styleId="KeywordTok">
    <w:name w:val="KeywordTok"/>
    <w:qFormat/>
    <w:rPr>
      <w:rFonts w:ascii="Consolas" w:hAnsi="Consolas" w:eastAsia="Courier New"/>
      <w:b/>
      <w:color w:val="007020"/>
      <w:sz w:val="22"/>
    </w:rPr>
  </w:style>
  <w:style w:type="character" w:styleId="CaptionChar">
    <w:name w:val="Caption Char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Arial" w:hAnsi="Arial"/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Arial" w:hAnsi="Arial"/>
      <w:sz w:val="24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>
    <w:name w:val="Source Code"/>
    <w:basedOn w:val="Normal"/>
    <w:qFormat/>
    <w:pPr/>
    <w:rPr>
      <w:rFonts w:ascii="Courier New" w:hAnsi="Courier New" w:eastAsia="Courier New"/>
    </w:rPr>
  </w:style>
  <w:style w:type="paragraph" w:styleId="Caption1">
    <w:name w:val="caption"/>
    <w:basedOn w:val="Normal"/>
    <w:qFormat/>
    <w:pPr>
      <w:spacing w:before="0" w:after="12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  <w:spacing w:before="0" w:after="0"/>
    </w:pPr>
    <w:rPr>
      <w:rFonts w:ascii="Roboto Black" w:hAnsi="Roboto Black"/>
      <w:b w:val="false"/>
      <w:i w:val="false"/>
      <w:sz w:val="20"/>
    </w:rPr>
  </w:style>
  <w:style w:type="paragraph" w:styleId="Footer">
    <w:name w:val="Footer"/>
    <w:basedOn w:val="HeaderandFooter"/>
    <w:pPr>
      <w:suppressLineNumbers/>
      <w:spacing w:before="0" w:after="0"/>
      <w:jc w:val="center"/>
    </w:pPr>
    <w:rPr>
      <w:rFonts w:ascii="Roboto" w:hAnsi="Roboto"/>
      <w:sz w:val="16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LibreOffice/6.4.4.2$Linux_X86_64 LibreOffice_project/40$Build-2</Application>
  <Pages>2</Pages>
  <Words>77</Words>
  <Characters>397</Characters>
  <CharactersWithSpaces>511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2020-08-03T13:11:22Z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